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4D" w:rsidRDefault="00DB1D4D" w:rsidP="00CC5E4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E4D" w:rsidRPr="00B25FED">
        <w:rPr>
          <w:rFonts w:ascii="Times New Roman" w:hAnsi="Times New Roman" w:cs="Times New Roman"/>
          <w:sz w:val="28"/>
          <w:szCs w:val="28"/>
        </w:rPr>
        <w:t>ЕРЕЧЕНЬ</w:t>
      </w:r>
      <w:r w:rsidR="00CC5E4D">
        <w:rPr>
          <w:rFonts w:ascii="Times New Roman" w:hAnsi="Times New Roman" w:cs="Times New Roman"/>
          <w:sz w:val="28"/>
          <w:szCs w:val="28"/>
        </w:rPr>
        <w:t xml:space="preserve"> </w:t>
      </w:r>
      <w:r w:rsidR="00CC5E4D" w:rsidRPr="00B25FED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CC5E4D" w:rsidRDefault="00CC5E4D" w:rsidP="00CC5E4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5E4D" w:rsidRPr="00B25FED" w:rsidRDefault="00CC5E4D" w:rsidP="00CC5E4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5FED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</w:p>
    <w:p w:rsidR="00CC5E4D" w:rsidRDefault="00CC5E4D" w:rsidP="00CC5E4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5FED">
        <w:rPr>
          <w:rFonts w:ascii="Times New Roman" w:hAnsi="Times New Roman" w:cs="Times New Roman"/>
          <w:sz w:val="28"/>
          <w:szCs w:val="28"/>
        </w:rPr>
        <w:t xml:space="preserve">и по развитию конкурентной среды </w:t>
      </w: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CC5E4D" w:rsidRDefault="00CC5E4D" w:rsidP="00CC5E4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5E4D" w:rsidRPr="00B25FED" w:rsidRDefault="00CC5E4D" w:rsidP="00CC5E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5" w:type="dxa"/>
        <w:tblInd w:w="534" w:type="dxa"/>
        <w:tblLook w:val="04A0"/>
      </w:tblPr>
      <w:tblGrid>
        <w:gridCol w:w="8613"/>
        <w:gridCol w:w="6412"/>
      </w:tblGrid>
      <w:tr w:rsidR="00CC5E4D" w:rsidTr="000A0D94">
        <w:trPr>
          <w:tblHeader/>
        </w:trPr>
        <w:tc>
          <w:tcPr>
            <w:tcW w:w="8613" w:type="dxa"/>
            <w:tcBorders>
              <w:lef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412" w:type="dxa"/>
            <w:tcBorders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0A0D94">
        <w:trPr>
          <w:tblHeader/>
        </w:trPr>
        <w:tc>
          <w:tcPr>
            <w:tcW w:w="8613" w:type="dxa"/>
            <w:tcBorders>
              <w:left w:val="nil"/>
            </w:tcBorders>
          </w:tcPr>
          <w:p w:rsidR="00CC5E4D" w:rsidRPr="00EA32DF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2" w:type="dxa"/>
            <w:tcBorders>
              <w:right w:val="nil"/>
            </w:tcBorders>
          </w:tcPr>
          <w:p w:rsidR="00CC5E4D" w:rsidRPr="00EA32DF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5E4D" w:rsidTr="006E2702">
        <w:tc>
          <w:tcPr>
            <w:tcW w:w="15025" w:type="dxa"/>
            <w:gridSpan w:val="2"/>
            <w:tcBorders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4D" w:rsidRPr="00694E12" w:rsidRDefault="00CC5E4D" w:rsidP="00CC5E4D">
            <w:pPr>
              <w:pStyle w:val="ConsPlusNormal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содействию развитию конкуренции </w:t>
            </w:r>
          </w:p>
          <w:p w:rsidR="00CC5E4D" w:rsidRPr="00B31C6B" w:rsidRDefault="00CC5E4D" w:rsidP="009C2FBE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C6B">
              <w:rPr>
                <w:rFonts w:ascii="Times New Roman" w:hAnsi="Times New Roman" w:cs="Times New Roman"/>
                <w:b/>
                <w:sz w:val="28"/>
                <w:szCs w:val="28"/>
              </w:rPr>
              <w:t>на социально значимых рынках Волгоградской области</w:t>
            </w:r>
          </w:p>
          <w:p w:rsidR="00CC5E4D" w:rsidRDefault="00CC5E4D" w:rsidP="009C2FBE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0C8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дошкольного образования</w:t>
            </w:r>
          </w:p>
          <w:p w:rsidR="00CC5E4D" w:rsidRPr="006D30C8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развития конкуренции на рынке услуг дошкольного образования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развитие сектора частных дошкольных образовательных организаций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5E4D" w:rsidRPr="0087797F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</w:t>
            </w:r>
            <w:r w:rsidRPr="008779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797F">
              <w:rPr>
                <w:rFonts w:ascii="Times New Roman" w:eastAsiaTheme="minorHAnsi" w:hAnsi="Times New Roman" w:cstheme="minorBidi"/>
                <w:spacing w:val="-4"/>
                <w:kern w:val="24"/>
                <w:sz w:val="28"/>
                <w:szCs w:val="28"/>
                <w:lang w:eastAsia="en-US"/>
              </w:rPr>
              <w:t>0,36</w:t>
            </w:r>
            <w:r w:rsidRPr="0087797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7797F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- </w:t>
            </w:r>
            <w:r w:rsidRPr="0087797F">
              <w:rPr>
                <w:rFonts w:ascii="Times New Roman" w:eastAsiaTheme="minorHAnsi" w:hAnsi="Times New Roman" w:cstheme="minorBidi"/>
                <w:spacing w:val="-4"/>
                <w:kern w:val="24"/>
                <w:sz w:val="28"/>
                <w:szCs w:val="28"/>
                <w:lang w:eastAsia="en-US"/>
              </w:rPr>
              <w:t>0,38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649CD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49CD">
              <w:rPr>
                <w:rFonts w:ascii="Times New Roman" w:hAnsi="Times New Roman"/>
                <w:sz w:val="28"/>
                <w:szCs w:val="28"/>
              </w:rPr>
              <w:t>создание оптимальной и эффективной сети образовательных организаций дошкольного, общего, дополнительного и профессионального образования Волгоградской области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649CD" w:rsidRDefault="00CC5E4D" w:rsidP="009C2FBE">
            <w:pPr>
              <w:spacing w:line="240" w:lineRule="exact"/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</w:pPr>
            <w:r w:rsidRPr="005649CD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</w:t>
            </w:r>
            <w:r w:rsidR="006E2702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зователь</w:t>
            </w:r>
            <w:r w:rsidRPr="005649CD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ных организациях, процентов</w:t>
            </w:r>
          </w:p>
          <w:p w:rsidR="00CC5E4D" w:rsidRPr="005649C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CD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- </w:t>
            </w:r>
            <w:r w:rsidRPr="005649CD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87,8 </w:t>
            </w:r>
            <w:r w:rsidRPr="005649CD">
              <w:rPr>
                <w:rFonts w:ascii="Times New Roman" w:hAnsi="Times New Roman" w:cs="Times New Roman"/>
                <w:sz w:val="28"/>
                <w:szCs w:val="28"/>
              </w:rPr>
              <w:t>процента;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49CD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5649CD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88 </w:t>
            </w:r>
            <w:r w:rsidRPr="005649C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5649CD" w:rsidRDefault="00CC5E4D" w:rsidP="009C2FBE">
            <w:pPr>
              <w:spacing w:line="240" w:lineRule="exact"/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85989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85989">
              <w:rPr>
                <w:rFonts w:ascii="Times New Roman" w:hAnsi="Times New Roman"/>
                <w:sz w:val="28"/>
                <w:szCs w:val="28"/>
              </w:rPr>
              <w:t xml:space="preserve">создание единой автоматизированной информационно-аналитической системы управления в сфере образования региона и обеспечение взаимодействия в этой системе образовательных </w:t>
            </w:r>
            <w:r w:rsidRPr="0058598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 регионального и муниципальных органов управлением образованием, широкой общественности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85989" w:rsidRDefault="00CC5E4D" w:rsidP="009C2FBE">
            <w:pPr>
              <w:spacing w:line="240" w:lineRule="exact"/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</w:pPr>
            <w:r w:rsidRPr="0058598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lastRenderedPageBreak/>
              <w:t xml:space="preserve">доля образовательных организаций, включенных в единую автоматизированную информационно-аналитическую систему, в общем числе </w:t>
            </w:r>
            <w:r w:rsidRPr="0058598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lastRenderedPageBreak/>
              <w:t>образовательных организаций, процентов</w:t>
            </w:r>
            <w:r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:</w:t>
            </w:r>
          </w:p>
          <w:p w:rsidR="00CC5E4D" w:rsidRPr="00585989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5989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5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98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5859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Pr="00585989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5989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20</w:t>
            </w:r>
            <w:r w:rsidRPr="0058598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 </w:t>
            </w:r>
            <w:r w:rsidRPr="0058598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585989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00E49" w:rsidRDefault="00CC5E4D" w:rsidP="009C2FBE">
            <w:pPr>
              <w:spacing w:line="240" w:lineRule="exact"/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</w:pPr>
            <w:r w:rsidRPr="00400E4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охват детей в возрасте 5-18 лет программами дополнительного образования (удельный</w:t>
            </w:r>
            <w:r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 </w:t>
            </w:r>
            <w:r w:rsidRPr="00400E4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вес численности детей, получающих услуги дополнительного образования, в общей численности детей в возрасте 5-18 лет), процентов:</w:t>
            </w:r>
          </w:p>
          <w:p w:rsidR="00CC5E4D" w:rsidRPr="00400E49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>70</w:t>
            </w:r>
            <w:r w:rsidRPr="00400E4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 </w:t>
            </w: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Pr="00400E49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71 </w:t>
            </w: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CC5E4D" w:rsidRPr="00400E49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00E49" w:rsidRDefault="00CC5E4D" w:rsidP="009C2FBE">
            <w:pPr>
              <w:spacing w:line="240" w:lineRule="exact"/>
              <w:rPr>
                <w:sz w:val="28"/>
                <w:szCs w:val="28"/>
              </w:rPr>
            </w:pPr>
            <w:r w:rsidRPr="00400E49">
              <w:rPr>
                <w:rFonts w:ascii="Times New Roman" w:hAnsi="Times New Roman"/>
                <w:sz w:val="28"/>
                <w:szCs w:val="28"/>
              </w:rPr>
              <w:t>увеличение числа негосударственных дошкольных образовательных организаций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00E49" w:rsidRDefault="00CC5E4D" w:rsidP="009C2FBE">
            <w:pPr>
              <w:spacing w:line="240" w:lineRule="exact"/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</w:pPr>
            <w:r w:rsidRPr="00400E4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доля негосударственных дошкольных образовательных организаций от общего числа дошкольных образовательных организаций Волгоградской области, процентов: </w:t>
            </w:r>
          </w:p>
          <w:p w:rsidR="00CC5E4D" w:rsidRPr="00400E49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400E4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0,98 </w:t>
            </w: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400E49"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  <w:t xml:space="preserve">0,99 </w:t>
            </w:r>
            <w:r w:rsidRPr="00400E49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CC5E4D" w:rsidRPr="00400E49" w:rsidRDefault="00CC5E4D" w:rsidP="009C2FBE">
            <w:pPr>
              <w:spacing w:line="240" w:lineRule="exact"/>
              <w:rPr>
                <w:rFonts w:ascii="Times New Roman" w:hAnsi="Times New Roman"/>
                <w:spacing w:val="-4"/>
                <w:kern w:val="24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0C8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детского отдыха и оздоровления</w:t>
            </w:r>
          </w:p>
          <w:p w:rsidR="00CC5E4D" w:rsidRPr="006D30C8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2.Создание условий для развития конкуренции на рынке услуг отдыха и оздоровления детей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лагерь с дневным пребыванием, палаточный лагерь, стационарно-оздоровительный лагерь труда и отдыха):</w:t>
            </w:r>
          </w:p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- 10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- 15 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20 процентов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услуг дополнительного образования детей</w:t>
            </w:r>
          </w:p>
          <w:p w:rsidR="00CC5E4D" w:rsidRPr="002504BB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3.Создание условий для развития конкуренции на рынке услуг дополнительного образования детей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 2 процента ежегодно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94" w:rsidRPr="00B25FED" w:rsidRDefault="000A0D94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D94" w:rsidRDefault="000A0D94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D94" w:rsidRDefault="000A0D94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4BB">
              <w:rPr>
                <w:rFonts w:ascii="Times New Roman" w:hAnsi="Times New Roman" w:cs="Times New Roman"/>
                <w:b/>
                <w:sz w:val="28"/>
                <w:szCs w:val="28"/>
              </w:rPr>
              <w:t>Рынок медицинских услуг</w:t>
            </w:r>
          </w:p>
          <w:p w:rsidR="00CC5E4D" w:rsidRPr="002504BB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4.Создание условий для развития конкуренции на рынке медицинских услуг</w:t>
            </w:r>
          </w:p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доля затрат на медицинскую помощь по обязательному медицинскому страхованию, оказанную негосударственными (немуниципальными) медицинскими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организациями, в общих расходах на выполнение территориальных программ обязательного медицинского страхования:</w:t>
            </w:r>
          </w:p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в 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- 1,5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4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  <w:p w:rsidR="00CC5E4D" w:rsidRPr="007124AC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5.Развитие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7124AC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24AC">
              <w:rPr>
                <w:rFonts w:ascii="Times New Roman" w:hAnsi="Times New Roman" w:cs="Times New Roman"/>
                <w:sz w:val="28"/>
                <w:szCs w:val="28"/>
              </w:rPr>
              <w:t>доля негосударственных организаций, оказывающих услуги ранней  диагностики, социализации и реабилитации детей с ограниченными возможностями здоровья,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124AC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CC5E4D" w:rsidRPr="007124AC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24AC">
              <w:rPr>
                <w:rFonts w:ascii="Times New Roman" w:hAnsi="Times New Roman" w:cs="Times New Roman"/>
                <w:sz w:val="28"/>
                <w:szCs w:val="28"/>
              </w:rPr>
              <w:t>в 2015 году – 3 процента;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5 процентов;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7 процентов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889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в сфере культуры</w:t>
            </w:r>
          </w:p>
          <w:p w:rsidR="00CC5E4D" w:rsidRPr="00CD4889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6.Развитие сектора негосударственных (немуниципальных) организаций в сфере культуры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D6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представление грантов в форме субсидий, предоставляемых комитетом культуры Волгоградской области по результатам проводимых им конкурсов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4AD6">
              <w:rPr>
                <w:rFonts w:ascii="Times New Roman" w:hAnsi="Times New Roman" w:cs="Times New Roman"/>
                <w:sz w:val="28"/>
                <w:szCs w:val="28"/>
              </w:rPr>
              <w:t>доля расходов областного бюджета, распределяемых на конкурсной основе, в расходах областного бюджета, выделяемых на финансирование деятельности организаций всех форм собственности в сфере культуры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F36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жилищно-коммунального хозяйства</w:t>
            </w:r>
          </w:p>
          <w:p w:rsidR="00CC5E4D" w:rsidRPr="006A4F36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услуг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жилищно-коммунального хозяйства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– 100 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100 процентов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1B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1B19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"горячей телефонной линии", а также электронной формы обратной 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информационно-телекоммуникационной сети "Интернет" </w:t>
            </w:r>
            <w:r w:rsidRPr="00B51B19">
              <w:rPr>
                <w:rFonts w:ascii="Times New Roman" w:hAnsi="Times New Roman" w:cs="Times New Roman"/>
                <w:sz w:val="28"/>
                <w:szCs w:val="28"/>
              </w:rPr>
              <w:t>(с возможностью прикрепления файлов фото- и видеосъемки)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- обеспечено;</w:t>
            </w:r>
          </w:p>
          <w:p w:rsidR="00CC5E4D" w:rsidRPr="00B51B19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- обеспечено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5DDB">
              <w:rPr>
                <w:rFonts w:ascii="Times New Roman" w:hAnsi="Times New Roman" w:cs="Times New Roman"/>
                <w:sz w:val="28"/>
                <w:szCs w:val="28"/>
              </w:rPr>
              <w:t>ередача в управление частным операторам на основе концессионных соглашений объектов жилищно-коммунального хозяйства (в сфере тепло-, водоснабжения и водоотведения)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45DD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5DDB">
              <w:rPr>
                <w:rFonts w:ascii="Times New Roman" w:hAnsi="Times New Roman" w:cs="Times New Roman"/>
                <w:sz w:val="28"/>
                <w:szCs w:val="28"/>
              </w:rPr>
              <w:t>оля объектов тепло-, водоснабжения и водоотведения государственных и муниципальных предприятий, осуществляющих неэффективное управление, переданных частным коммунальным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 (процентов):</w:t>
            </w:r>
          </w:p>
          <w:p w:rsidR="00CC5E4D" w:rsidRPr="00445DD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5DDB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 </w:t>
            </w:r>
            <w:r w:rsidRPr="00445DD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45DD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5DDB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 </w:t>
            </w:r>
            <w:r w:rsidRPr="00445DD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445DD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45DD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445DD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740772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40772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информационной открытости отрасли жилищно-коммунального хозяйства Волгоградской области путем создания государственной информационной системы жилищно-коммунального хозяйства в соответствии с Федеральным законом "О государственной информационной системе жилищно-коммунального хозяйства"</w:t>
            </w:r>
          </w:p>
          <w:p w:rsidR="00CC5E4D" w:rsidRPr="0074077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740772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740772">
              <w:rPr>
                <w:rFonts w:ascii="Times New Roman" w:eastAsia="Calibri" w:hAnsi="Times New Roman" w:cs="Times New Roman"/>
                <w:sz w:val="28"/>
                <w:szCs w:val="28"/>
              </w:rPr>
              <w:t>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Волгоградской области (процентов):</w:t>
            </w:r>
          </w:p>
          <w:p w:rsidR="00CC5E4D" w:rsidRPr="0074077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0772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 </w:t>
            </w:r>
            <w:r w:rsidRPr="0074077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74077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0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2016 году –  </w:t>
            </w:r>
            <w:r w:rsidRPr="007407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</w:t>
            </w:r>
            <w:r w:rsidRPr="00740772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74077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Розничная торговля</w:t>
            </w:r>
          </w:p>
          <w:p w:rsidR="00CC5E4D" w:rsidRPr="00A56A99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826182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6182">
              <w:rPr>
                <w:rFonts w:ascii="Times New Roman" w:hAnsi="Times New Roman" w:cs="Times New Roman"/>
                <w:sz w:val="28"/>
                <w:szCs w:val="28"/>
              </w:rPr>
              <w:t>8. Создание условий для наиболее полного  удовлетворения потребностей населения в услугах торговли, общественного питания и бытового обслуживания населения</w:t>
            </w:r>
          </w:p>
          <w:p w:rsidR="00CC5E4D" w:rsidRPr="0082618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82618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826182" w:rsidRDefault="00CC5E4D" w:rsidP="009C2FBE">
            <w:pPr>
              <w:tabs>
                <w:tab w:val="left" w:pos="993"/>
                <w:tab w:val="left" w:pos="1134"/>
              </w:tabs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6182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нормативно-правовой базы, регулирующей вопросы развития потребительского рынка </w:t>
            </w:r>
          </w:p>
          <w:p w:rsidR="00CC5E4D" w:rsidRPr="0082618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826182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26182">
              <w:rPr>
                <w:rFonts w:ascii="Times New Roman" w:eastAsia="Calibri" w:hAnsi="Times New Roman" w:cs="Times New Roman"/>
                <w:sz w:val="28"/>
                <w:szCs w:val="28"/>
              </w:rPr>
              <w:t>емп роста оборота розничной торговли на душу населения (процентов):</w:t>
            </w:r>
          </w:p>
          <w:p w:rsidR="00CC5E4D" w:rsidRPr="0082618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6182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 </w:t>
            </w:r>
            <w:r w:rsidRPr="0082618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82618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6182">
              <w:rPr>
                <w:rFonts w:ascii="Times New Roman" w:hAnsi="Times New Roman" w:cs="Times New Roman"/>
                <w:sz w:val="28"/>
                <w:szCs w:val="28"/>
              </w:rPr>
              <w:t>в 2016 году –  101,5</w:t>
            </w:r>
            <w:r w:rsidRPr="008261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6182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CC5E4D" w:rsidRPr="0082618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B7641" w:rsidRDefault="00CC5E4D" w:rsidP="009C2FBE">
            <w:pPr>
              <w:tabs>
                <w:tab w:val="left" w:pos="993"/>
                <w:tab w:val="left" w:pos="1134"/>
              </w:tabs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потребительского рынка, в том числе привлечение инвестиций для строительства новых и модернизации существующих предприятий</w:t>
            </w:r>
          </w:p>
          <w:p w:rsidR="00CC5E4D" w:rsidRPr="006B7641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B7641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B7641">
              <w:rPr>
                <w:rFonts w:ascii="Times New Roman" w:eastAsia="Calibri" w:hAnsi="Times New Roman" w:cs="Times New Roman"/>
                <w:sz w:val="28"/>
                <w:szCs w:val="28"/>
              </w:rPr>
              <w:t>емп роста оборота общественного питания на душу населения, (процентов):</w:t>
            </w:r>
          </w:p>
          <w:p w:rsidR="00CC5E4D" w:rsidRPr="006B7641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6B76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110,5 </w:t>
            </w: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в 2016 году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6B76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  <w:p w:rsidR="00CC5E4D" w:rsidRPr="006B7641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B7641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B7641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B7641">
              <w:rPr>
                <w:rFonts w:ascii="Times New Roman" w:eastAsia="Calibri" w:hAnsi="Times New Roman" w:cs="Times New Roman"/>
                <w:sz w:val="28"/>
                <w:szCs w:val="28"/>
              </w:rPr>
              <w:t>емп роста объема бытовых услуг на душу населения, (процентов):</w:t>
            </w:r>
          </w:p>
          <w:p w:rsidR="00CC5E4D" w:rsidRPr="006B7641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6B7641">
              <w:rPr>
                <w:rFonts w:ascii="Times New Roman" w:eastAsia="Calibri" w:hAnsi="Times New Roman" w:cs="Times New Roman"/>
                <w:sz w:val="28"/>
                <w:szCs w:val="28"/>
              </w:rPr>
              <w:t>103,8</w:t>
            </w:r>
            <w:r w:rsidRPr="006B764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в 2016 году –  105</w:t>
            </w:r>
            <w:r w:rsidRPr="006B76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764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6B7641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30F83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F83">
              <w:rPr>
                <w:rFonts w:ascii="Times New Roman" w:hAnsi="Times New Roman" w:cs="Times New Roman"/>
                <w:sz w:val="28"/>
                <w:szCs w:val="28"/>
              </w:rPr>
              <w:t>овышение территориальной доступности предприятий потребительского рынка, в том числе  развития небольших торговых предприятий в зонах жилой застройки («магазины у дома»), в небольших населенных пунктах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016149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14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торговыми площадями,  кв.м. /1 тыс. жителей:</w:t>
            </w:r>
          </w:p>
          <w:p w:rsidR="00CC5E4D" w:rsidRPr="00016149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6149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016149">
              <w:rPr>
                <w:rFonts w:ascii="Times New Roman" w:eastAsia="Calibri" w:hAnsi="Times New Roman" w:cs="Times New Roman"/>
                <w:sz w:val="28"/>
                <w:szCs w:val="28"/>
              </w:rPr>
              <w:t>560,0 кв.м. /1 тыс. жителей</w:t>
            </w:r>
            <w:r w:rsidRPr="000161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149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 </w:t>
            </w:r>
            <w:r w:rsidRPr="00016149">
              <w:rPr>
                <w:rFonts w:ascii="Times New Roman" w:eastAsia="Calibri" w:hAnsi="Times New Roman" w:cs="Times New Roman"/>
                <w:sz w:val="28"/>
                <w:szCs w:val="28"/>
              </w:rPr>
              <w:t>570,0 кв.м. /1 тыс. жителей</w:t>
            </w:r>
          </w:p>
          <w:p w:rsidR="00CC5E4D" w:rsidRPr="00016149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FE1E72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ввод в действие новых объектов потребительского рынка всего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единиц (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210 единиц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; в 2016 году – 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220 единиц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FE1E72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FE1E7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розничных сетевых компаний (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; в 2016 году – 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25), из них: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FE1E72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гипермаркеты (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; в 2016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1),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FE1E7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супермаркеты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единиц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>; в 2016 году –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8C3915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общественного питания, единиц </w:t>
            </w:r>
          </w:p>
          <w:p w:rsidR="00CC5E4D" w:rsidRPr="008C3915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C3915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8C3915">
              <w:rPr>
                <w:rFonts w:ascii="Times New Roman" w:hAnsi="Times New Roman" w:cs="Times New Roman"/>
                <w:sz w:val="28"/>
                <w:szCs w:val="28"/>
              </w:rPr>
              <w:t>; в 2016 году –</w:t>
            </w: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40)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180458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розничных сельскохозяйственных рынков, </w:t>
            </w: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1),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180458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сельскохозяйственных кооперативных рынков, </w:t>
            </w: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1),</w:t>
            </w: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распределительных </w:t>
            </w:r>
            <w:proofErr w:type="spellStart"/>
            <w:r w:rsidRPr="00180458">
              <w:rPr>
                <w:rFonts w:ascii="Times New Roman" w:eastAsia="Calibri" w:hAnsi="Times New Roman" w:cs="Times New Roman"/>
                <w:sz w:val="28"/>
                <w:szCs w:val="28"/>
              </w:rPr>
              <w:t>логистических</w:t>
            </w:r>
            <w:proofErr w:type="spellEnd"/>
            <w:r w:rsidRPr="00180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комплексов, </w:t>
            </w:r>
            <w:r w:rsidRPr="008C391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(</w:t>
            </w:r>
            <w:r w:rsidRPr="00FE1E72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FE1E72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  <w:p w:rsidR="00CC5E4D" w:rsidRPr="00180458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F36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перевозок пассажиров наземным транспортом</w:t>
            </w:r>
          </w:p>
          <w:p w:rsidR="00CC5E4D" w:rsidRPr="006A4F36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E1">
              <w:rPr>
                <w:rFonts w:ascii="Times New Roman" w:hAnsi="Times New Roman" w:cs="Times New Roman"/>
                <w:sz w:val="28"/>
                <w:szCs w:val="28"/>
              </w:rPr>
              <w:t>9.Создание условий для развития конкуренции на рынке услуг перевозок пассажиров наземным транспортом в пригородном и межмуниципальном сообщении</w:t>
            </w:r>
          </w:p>
          <w:p w:rsidR="00CC5E4D" w:rsidRPr="002574E1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2574E1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42602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2602">
              <w:rPr>
                <w:rFonts w:ascii="Times New Roman" w:hAnsi="Times New Roman" w:cs="Times New Roman"/>
                <w:sz w:val="28"/>
                <w:szCs w:val="28"/>
              </w:rPr>
              <w:t>овершенствование нормативно-правовой базы, регулирующей вопросы развития рынка услуг перевозок пассажиров наземным транспортом в пригородном и межмуниципальном сообщении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2574E1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E1">
              <w:rPr>
                <w:rFonts w:ascii="Times New Roman" w:hAnsi="Times New Roman" w:cs="Times New Roman"/>
                <w:sz w:val="28"/>
                <w:szCs w:val="28"/>
              </w:rPr>
              <w:t>оля негосударственных перевозчиков на межмуниципальных маршрутах пассажирского наземного транспорта от общего числа перевозчиков на межмуниципальных маршрутах пассажирского наземного транспорта, (процентов):</w:t>
            </w:r>
          </w:p>
          <w:p w:rsidR="00CC5E4D" w:rsidRPr="002574E1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E1">
              <w:rPr>
                <w:rFonts w:ascii="Times New Roman" w:hAnsi="Times New Roman" w:cs="Times New Roman"/>
                <w:sz w:val="28"/>
                <w:szCs w:val="28"/>
              </w:rPr>
              <w:t>в 2015 году – 70</w:t>
            </w:r>
            <w:r w:rsidRPr="00257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574E1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Pr="002574E1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E1">
              <w:rPr>
                <w:rFonts w:ascii="Times New Roman" w:hAnsi="Times New Roman" w:cs="Times New Roman"/>
                <w:sz w:val="28"/>
                <w:szCs w:val="28"/>
              </w:rPr>
              <w:t>в 2016 году – 75</w:t>
            </w:r>
            <w:r w:rsidRPr="00257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574E1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2574E1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9437A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доля межмуниципальных маршрутов пассажирского наземного транспорта, на которых осуществляются перевозки пассажиров негосударственными перевозчиками, от общего числа межмуниципальных маршрутов пассажирского наземного транспорта, (процентов):</w:t>
            </w:r>
          </w:p>
          <w:p w:rsidR="00CC5E4D" w:rsidRPr="004943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в 2015 году – 55</w:t>
            </w:r>
            <w:r w:rsidRPr="004943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Pr="0049437A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в 2016 году – 60</w:t>
            </w:r>
            <w:r w:rsidRPr="004943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4943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9437A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оля рейсов по межмуниципальным маршрутам пассажирского наземного транспорта, осуществляемых негосударственными перевозчиками, от общего числа рейсов по межмуниципальным маршрутам пассажирского наземного транспорта, (процентов):</w:t>
            </w:r>
          </w:p>
          <w:p w:rsidR="00CC5E4D" w:rsidRPr="004943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43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Pr="0049437A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943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437A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4D" w:rsidRPr="004943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97">
              <w:rPr>
                <w:rFonts w:ascii="Times New Roman" w:hAnsi="Times New Roman" w:cs="Times New Roman"/>
                <w:b/>
                <w:sz w:val="28"/>
                <w:szCs w:val="28"/>
              </w:rPr>
              <w:t>Рынок услуг связи</w:t>
            </w:r>
          </w:p>
          <w:p w:rsidR="00CC5E4D" w:rsidRPr="00CB5A97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конкуренции на рынке услуг широкополосного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(ШПД)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информационно-телекоммуникационную сеть "Интернет"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71295F" w:rsidRDefault="00CC5E4D" w:rsidP="009C2FBE">
            <w:pPr>
              <w:pStyle w:val="a6"/>
              <w:tabs>
                <w:tab w:val="left" w:pos="993"/>
                <w:tab w:val="left" w:pos="1134"/>
              </w:tabs>
              <w:spacing w:line="240" w:lineRule="exact"/>
              <w:ind w:left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1295F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равного доступа к современным услугам связи  населенных пунктов численностью</w:t>
            </w:r>
            <w:r w:rsidRPr="007129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1295F">
              <w:rPr>
                <w:rFonts w:ascii="Times New Roman" w:eastAsia="Times New Roman" w:hAnsi="Times New Roman" w:cs="Times New Roman"/>
                <w:sz w:val="28"/>
                <w:szCs w:val="28"/>
              </w:rPr>
              <w:t>250-500 человек и 500-10000 человек в том числе на рынке услуг широкополосного доступа (ШПД) в сеть Интернет, а также обеспечение мобильным Интернетом по технологии 3G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D30F4B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4B">
              <w:rPr>
                <w:rFonts w:ascii="Times New Roman" w:hAnsi="Times New Roman"/>
                <w:sz w:val="28"/>
                <w:szCs w:val="28"/>
              </w:rPr>
              <w:t>д</w:t>
            </w: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оля  населенных пунктов численностью 250-500 человек и 500-10000 человек, обеспеченных  широкополосным доступом (ШПД) в сеть Интернет, а также мобильным Интернетом по технологии №3G, от общего числа таких населенных пунктов, (процентов):</w:t>
            </w:r>
          </w:p>
          <w:p w:rsidR="00CC5E4D" w:rsidRPr="00D30F4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в 2015 году – 49</w:t>
            </w:r>
            <w:r w:rsidRPr="00D3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в 2016 году – 60</w:t>
            </w:r>
            <w:r w:rsidRPr="00D3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D30F4B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3F7CB5" w:rsidRDefault="00CC5E4D" w:rsidP="009C2FBE">
            <w:pPr>
              <w:pStyle w:val="a6"/>
              <w:tabs>
                <w:tab w:val="left" w:pos="993"/>
                <w:tab w:val="left" w:pos="1134"/>
              </w:tabs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D30F4B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30F4B">
              <w:rPr>
                <w:rFonts w:ascii="Times New Roman" w:hAnsi="Times New Roman"/>
                <w:sz w:val="28"/>
                <w:szCs w:val="28"/>
              </w:rPr>
              <w:t>ровень проникновения услуги ШПД в сеть Интернет (в том числе 3</w:t>
            </w:r>
            <w:r w:rsidRPr="00D30F4B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30F4B">
              <w:rPr>
                <w:rFonts w:ascii="Times New Roman" w:hAnsi="Times New Roman"/>
                <w:sz w:val="28"/>
                <w:szCs w:val="28"/>
              </w:rPr>
              <w:t>,  4</w:t>
            </w:r>
            <w:r w:rsidRPr="00D30F4B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D30F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0F4B">
              <w:rPr>
                <w:rFonts w:ascii="Times New Roman" w:hAnsi="Times New Roman"/>
                <w:sz w:val="28"/>
                <w:szCs w:val="28"/>
                <w:lang w:val="en-US"/>
              </w:rPr>
              <w:t>FTTX</w:t>
            </w:r>
            <w:r w:rsidRPr="00D30F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(процентов):</w:t>
            </w:r>
          </w:p>
          <w:p w:rsidR="00CC5E4D" w:rsidRPr="00D30F4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D3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70,9 </w:t>
            </w: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D3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74,9 </w:t>
            </w:r>
            <w:r w:rsidRPr="00D30F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D30F4B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3F7CB5" w:rsidRDefault="00CC5E4D" w:rsidP="009C2FBE">
            <w:pPr>
              <w:pStyle w:val="a6"/>
              <w:tabs>
                <w:tab w:val="left" w:pos="993"/>
                <w:tab w:val="left" w:pos="1134"/>
              </w:tabs>
              <w:spacing w:line="24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CC625C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C625C">
              <w:rPr>
                <w:rFonts w:ascii="Times New Roman" w:hAnsi="Times New Roman"/>
                <w:sz w:val="28"/>
                <w:szCs w:val="28"/>
              </w:rPr>
              <w:t xml:space="preserve">ровень проникновения наземного цифрового телевизионного вещания, </w:t>
            </w:r>
            <w:r w:rsidRPr="00CC625C">
              <w:rPr>
                <w:rFonts w:ascii="Times New Roman" w:hAnsi="Times New Roman" w:cs="Times New Roman"/>
                <w:sz w:val="28"/>
                <w:szCs w:val="28"/>
              </w:rPr>
              <w:t>(процентов):</w:t>
            </w:r>
          </w:p>
          <w:p w:rsidR="00CC5E4D" w:rsidRPr="00CC625C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625C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CC6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93,7 </w:t>
            </w:r>
            <w:r w:rsidRPr="00CC625C">
              <w:rPr>
                <w:rFonts w:ascii="Times New Roman" w:hAnsi="Times New Roman" w:cs="Times New Roman"/>
                <w:sz w:val="28"/>
                <w:szCs w:val="28"/>
              </w:rPr>
              <w:t>процентов;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6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2016 году – </w:t>
            </w:r>
            <w:r w:rsidRPr="00CC6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93,7 </w:t>
            </w:r>
            <w:r w:rsidRPr="00CC625C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CC5E4D" w:rsidRPr="00CC625C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6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услуг социального обслуживания населения</w:t>
            </w:r>
          </w:p>
          <w:p w:rsidR="00CC5E4D" w:rsidRPr="004556AD" w:rsidRDefault="00CC5E4D" w:rsidP="009C2F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в сфере социального обслуживания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11BC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развитие сектора негосударственных учреждений социального обслуживания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11BCB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1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удельный вес негосударственных организаций, оказывающих социальные услуги, от общего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числа</w:t>
            </w:r>
            <w:r w:rsidRPr="00411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учреждений социального обслуживания, </w:t>
            </w: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(процентов):</w:t>
            </w:r>
          </w:p>
          <w:p w:rsidR="00CC5E4D" w:rsidRPr="00411BC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в 2015 году – 3,3 процента;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411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10 процентов</w:t>
            </w:r>
          </w:p>
          <w:p w:rsidR="00CC5E4D" w:rsidRPr="00411BCB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11BC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рименение мер государственного регулирования с целью создания выгодных социально-экономических условий для организации деятельности поставщиков социальных услуг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11BCB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11BCB">
              <w:rPr>
                <w:rFonts w:ascii="Times New Roman" w:eastAsia="Calibri" w:hAnsi="Times New Roman" w:cs="Times New Roman"/>
                <w:sz w:val="28"/>
                <w:szCs w:val="28"/>
              </w:rPr>
              <w:t>дельный вес граждан пожилого возраста и инвалидов (взрослых и детей), получив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ших услуги в негосударственных </w:t>
            </w:r>
            <w:r w:rsidRPr="00411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немуниципальных учреждениях социального обслуживания, в общей численности граждан пожилого возраста и инвалидов, получивших услуги в учреждениях социального обслуживания всех форм собственности, </w:t>
            </w:r>
            <w:bookmarkStart w:id="0" w:name="OLE_LINK1"/>
            <w:bookmarkStart w:id="1" w:name="OLE_LINK2"/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(процентов):</w:t>
            </w:r>
          </w:p>
          <w:p w:rsidR="00CC5E4D" w:rsidRPr="00411BC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4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BC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End w:id="0"/>
            <w:bookmarkEnd w:id="1"/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94" w:rsidRPr="00411BCB" w:rsidRDefault="000A0D94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Pr="0021751D" w:rsidRDefault="00CC5E4D" w:rsidP="00CC5E4D">
            <w:pPr>
              <w:pStyle w:val="ConsPlusNormal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содействию развитию конкуренции </w:t>
            </w:r>
          </w:p>
          <w:p w:rsidR="00CC5E4D" w:rsidRDefault="00CC5E4D" w:rsidP="009C2FBE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1D">
              <w:rPr>
                <w:rFonts w:ascii="Times New Roman" w:hAnsi="Times New Roman" w:cs="Times New Roman"/>
                <w:b/>
                <w:sz w:val="28"/>
                <w:szCs w:val="28"/>
              </w:rPr>
              <w:t>на приоритетных рынках Волгоградской области</w:t>
            </w:r>
          </w:p>
          <w:p w:rsidR="00CC5E4D" w:rsidRPr="00411BCB" w:rsidRDefault="00CC5E4D" w:rsidP="009C2FBE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F6">
              <w:rPr>
                <w:rFonts w:ascii="Times New Roman" w:hAnsi="Times New Roman" w:cs="Times New Roman"/>
                <w:b/>
                <w:sz w:val="28"/>
                <w:szCs w:val="28"/>
              </w:rPr>
              <w:t>Рынок легкой промышленности Волгоградской области</w:t>
            </w:r>
          </w:p>
          <w:p w:rsidR="00CC5E4D" w:rsidRPr="00B129F6" w:rsidRDefault="00CC5E4D" w:rsidP="009C2F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9E0B2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9E0B26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производства конкурентоспособной продукции</w:t>
            </w:r>
            <w:r w:rsidRPr="009E0B26">
              <w:rPr>
                <w:rFonts w:ascii="Times New Roman" w:hAnsi="Times New Roman" w:cs="Times New Roman"/>
                <w:sz w:val="28"/>
                <w:szCs w:val="28"/>
              </w:rPr>
              <w:t xml:space="preserve"> легкой промышленности Волгоградской области</w:t>
            </w:r>
          </w:p>
          <w:p w:rsidR="00CC5E4D" w:rsidRPr="009E0B26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11BCB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E0B26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E0B26">
              <w:rPr>
                <w:rFonts w:ascii="Times New Roman" w:hAnsi="Times New Roman" w:cs="Times New Roman"/>
                <w:sz w:val="28"/>
                <w:szCs w:val="28"/>
              </w:rPr>
              <w:t>одернизация производств легкой промышленности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E0B26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E0B26">
              <w:rPr>
                <w:rFonts w:ascii="Times New Roman" w:hAnsi="Times New Roman"/>
                <w:sz w:val="28"/>
                <w:szCs w:val="28"/>
              </w:rPr>
              <w:t>оличество созданных и (или) модернизированных производств, ед</w:t>
            </w:r>
            <w:r>
              <w:rPr>
                <w:rFonts w:ascii="Times New Roman" w:hAnsi="Times New Roman"/>
                <w:sz w:val="28"/>
                <w:szCs w:val="28"/>
              </w:rPr>
              <w:t>иниц:</w:t>
            </w:r>
          </w:p>
          <w:p w:rsidR="00CC5E4D" w:rsidRPr="009E0B26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0B26">
              <w:rPr>
                <w:rFonts w:ascii="Times New Roman" w:hAnsi="Times New Roman" w:cs="Times New Roman"/>
                <w:sz w:val="28"/>
                <w:szCs w:val="28"/>
              </w:rPr>
              <w:t>в 2015 году – 4</w:t>
            </w:r>
            <w:r w:rsidRPr="009E0B26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/>
                <w:sz w:val="28"/>
                <w:szCs w:val="28"/>
              </w:rPr>
              <w:t>иницы</w:t>
            </w:r>
            <w:r w:rsidRPr="009E0B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E0B26">
              <w:rPr>
                <w:rFonts w:ascii="Times New Roman" w:hAnsi="Times New Roman" w:cs="Times New Roman"/>
                <w:sz w:val="28"/>
                <w:szCs w:val="28"/>
              </w:rPr>
              <w:t>в 2016 году – 5</w:t>
            </w:r>
            <w:r w:rsidRPr="009E0B26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/>
                <w:sz w:val="28"/>
                <w:szCs w:val="28"/>
              </w:rPr>
              <w:t>иниц</w:t>
            </w:r>
          </w:p>
          <w:p w:rsidR="00CC5E4D" w:rsidRPr="009E0B26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8756F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>ктивизация выставочно-ярмарочной деятельности с целью расширения рынка сбыта продукции предприятий легкой промышленности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8756F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выставок, в которых участвуют предприятия легкой, промышленности региона, </w:t>
            </w:r>
            <w:r w:rsidRPr="0068756F">
              <w:rPr>
                <w:rFonts w:ascii="Times New Roman" w:hAnsi="Times New Roman"/>
                <w:sz w:val="28"/>
                <w:szCs w:val="28"/>
              </w:rPr>
              <w:t>единиц:</w:t>
            </w:r>
          </w:p>
          <w:p w:rsidR="00CC5E4D" w:rsidRPr="0068756F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– 5</w:t>
            </w:r>
            <w:r w:rsidRPr="0068756F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8</w:t>
            </w:r>
            <w:r w:rsidRPr="0068756F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E4D" w:rsidRPr="0068756F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F6">
              <w:rPr>
                <w:rFonts w:ascii="Times New Roman" w:hAnsi="Times New Roman" w:cs="Times New Roman"/>
                <w:b/>
                <w:sz w:val="28"/>
                <w:szCs w:val="28"/>
              </w:rPr>
              <w:t>Рынок  сельскохозяйственного производства</w:t>
            </w:r>
          </w:p>
          <w:p w:rsidR="00CC5E4D" w:rsidRPr="00411BCB" w:rsidRDefault="00CC5E4D" w:rsidP="009C2FBE">
            <w:pPr>
              <w:spacing w:line="240" w:lineRule="exact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>Повышение товарности сельскохозяйственной продукции  за счет создания условий для ее сезонного хранения и переработки</w:t>
            </w:r>
          </w:p>
          <w:p w:rsidR="00CC5E4D" w:rsidRPr="0068756F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8756F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8756F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п</w:t>
            </w:r>
            <w:r w:rsidRPr="0068756F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роведение организациями пищевой и перерабатывающей промышленности  Волгоградской области мероприятий, направленных на модернизацию действующих производств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68756F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8756F">
              <w:rPr>
                <w:rFonts w:ascii="Times New Roman" w:eastAsia="Calibri" w:hAnsi="Times New Roman" w:cs="Times New Roman"/>
                <w:sz w:val="28"/>
                <w:szCs w:val="28"/>
              </w:rPr>
              <w:t>ндекс производства пищевых продуктов, включая напитки, и табака (в сопоставимых ценах)</w:t>
            </w:r>
            <w:r w:rsidRPr="0068756F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 xml:space="preserve">, 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>(процентов):</w:t>
            </w:r>
          </w:p>
          <w:p w:rsidR="00CC5E4D" w:rsidRPr="0068756F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  <w:r w:rsidRPr="00687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756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C5E4D" w:rsidRPr="0068756F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7E0F09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0F09">
              <w:rPr>
                <w:rFonts w:ascii="Times New Roman" w:hAnsi="Times New Roman" w:cs="Times New Roman"/>
                <w:sz w:val="28"/>
                <w:szCs w:val="28"/>
              </w:rPr>
              <w:t>оздание, реконструкция,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дернизация сети оптово-распреде</w:t>
            </w:r>
            <w:r w:rsidRPr="007E0F09">
              <w:rPr>
                <w:rFonts w:ascii="Times New Roman" w:hAnsi="Times New Roman" w:cs="Times New Roman"/>
                <w:sz w:val="28"/>
                <w:szCs w:val="28"/>
              </w:rPr>
              <w:t>лительных (</w:t>
            </w:r>
            <w:proofErr w:type="spellStart"/>
            <w:r w:rsidRPr="007E0F09">
              <w:rPr>
                <w:rFonts w:ascii="Times New Roman" w:hAnsi="Times New Roman" w:cs="Times New Roman"/>
                <w:sz w:val="28"/>
                <w:szCs w:val="28"/>
              </w:rPr>
              <w:t>логистических</w:t>
            </w:r>
            <w:proofErr w:type="spellEnd"/>
            <w:r w:rsidRPr="007E0F09">
              <w:rPr>
                <w:rFonts w:ascii="Times New Roman" w:hAnsi="Times New Roman" w:cs="Times New Roman"/>
                <w:sz w:val="28"/>
                <w:szCs w:val="28"/>
              </w:rPr>
              <w:t>) центров по хранению, переработке плодоовощной продукции и картофеля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7E0F09" w:rsidRDefault="00CC5E4D" w:rsidP="009C2FBE">
            <w:pPr>
              <w:spacing w:line="240" w:lineRule="exact"/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0F09">
              <w:rPr>
                <w:rFonts w:ascii="Times New Roman" w:eastAsia="Calibri" w:hAnsi="Times New Roman" w:cs="Times New Roman"/>
                <w:sz w:val="28"/>
                <w:szCs w:val="28"/>
              </w:rPr>
              <w:t>ощност</w:t>
            </w:r>
            <w:r w:rsidRPr="007E0F09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E0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единоврем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енного хранения оптово-распреде</w:t>
            </w:r>
            <w:r w:rsidRPr="007E0F09">
              <w:rPr>
                <w:rFonts w:ascii="Times New Roman" w:eastAsia="Calibri" w:hAnsi="Times New Roman" w:cs="Times New Roman"/>
                <w:sz w:val="28"/>
                <w:szCs w:val="28"/>
              </w:rPr>
              <w:t>лительных (</w:t>
            </w:r>
            <w:proofErr w:type="spellStart"/>
            <w:r w:rsidRPr="007E0F09">
              <w:rPr>
                <w:rFonts w:ascii="Times New Roman" w:eastAsia="Calibri" w:hAnsi="Times New Roman" w:cs="Times New Roman"/>
                <w:sz w:val="28"/>
                <w:szCs w:val="28"/>
              </w:rPr>
              <w:t>логистических</w:t>
            </w:r>
            <w:proofErr w:type="spellEnd"/>
            <w:r w:rsidRPr="007E0F09">
              <w:rPr>
                <w:rFonts w:ascii="Times New Roman" w:eastAsia="Calibri" w:hAnsi="Times New Roman" w:cs="Times New Roman"/>
                <w:sz w:val="28"/>
                <w:szCs w:val="28"/>
              </w:rPr>
              <w:t>) центров,  производственных объектов и хранилищ плодоовощной продукции и картофеля</w:t>
            </w:r>
            <w:r w:rsidRPr="007E0F09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, тыс.</w:t>
            </w:r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 xml:space="preserve"> </w:t>
            </w:r>
            <w:r w:rsidRPr="007E0F09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тонн</w:t>
            </w:r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:</w:t>
            </w:r>
          </w:p>
          <w:p w:rsidR="00CC5E4D" w:rsidRPr="007E0F09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0F09">
              <w:rPr>
                <w:rFonts w:ascii="Times New Roman" w:hAnsi="Times New Roman" w:cs="Times New Roman"/>
                <w:sz w:val="28"/>
                <w:szCs w:val="28"/>
              </w:rPr>
              <w:t>в 2015 году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тонн</w:t>
            </w:r>
            <w:r w:rsidRPr="007E0F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E0F09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0F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тонн</w:t>
            </w:r>
          </w:p>
          <w:p w:rsidR="00CC5E4D" w:rsidRPr="007E0F09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F6">
              <w:rPr>
                <w:rFonts w:ascii="Times New Roman" w:hAnsi="Times New Roman" w:cs="Times New Roman"/>
                <w:b/>
                <w:sz w:val="28"/>
                <w:szCs w:val="28"/>
              </w:rPr>
              <w:t>Рынок жилищного строительства</w:t>
            </w:r>
          </w:p>
          <w:p w:rsidR="00CC5E4D" w:rsidRPr="00411BCB" w:rsidRDefault="00CC5E4D" w:rsidP="009C2FBE">
            <w:pPr>
              <w:spacing w:line="240" w:lineRule="exact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 xml:space="preserve">14. </w:t>
            </w:r>
            <w:r w:rsidRPr="005F2DDE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Стимулирование и увеличение объемов строительства многоквартирного жилья</w:t>
            </w:r>
          </w:p>
          <w:p w:rsidR="00CC5E4D" w:rsidRPr="005F2DDE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F2DDE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F2DDE" w:rsidRDefault="00CC5E4D" w:rsidP="009C2FBE">
            <w:pPr>
              <w:spacing w:line="240" w:lineRule="exact"/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lastRenderedPageBreak/>
              <w:t>о</w:t>
            </w:r>
            <w:r w:rsidRPr="005F2DDE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беспечение доступным и комфортным жильем и коммунальными услугами граждан Волгоградской области</w:t>
            </w:r>
          </w:p>
          <w:p w:rsidR="00CC5E4D" w:rsidRPr="005F2DDE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5F2DDE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F2DDE">
              <w:rPr>
                <w:rFonts w:ascii="Times New Roman" w:eastAsia="Calibri" w:hAnsi="Times New Roman" w:cs="Times New Roman"/>
                <w:sz w:val="28"/>
                <w:szCs w:val="28"/>
              </w:rPr>
              <w:t>тоимость  одного квадратного метра жилья, руб./кв.м:</w:t>
            </w:r>
          </w:p>
          <w:p w:rsidR="00CC5E4D" w:rsidRPr="005F2DDE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2DDE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5F2DDE">
              <w:rPr>
                <w:rFonts w:ascii="Times New Roman" w:eastAsia="Calibri" w:hAnsi="Times New Roman" w:cs="Times New Roman"/>
                <w:sz w:val="28"/>
                <w:szCs w:val="28"/>
              </w:rPr>
              <w:t>42402, 7***руб./кв.м</w:t>
            </w:r>
            <w:r w:rsidRPr="005F2D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DDE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5F2DD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43133,6***</w:t>
            </w:r>
            <w:r w:rsidRPr="005F2DDE">
              <w:rPr>
                <w:rFonts w:ascii="Times New Roman" w:eastAsia="Calibri" w:hAnsi="Times New Roman" w:cs="Times New Roman"/>
                <w:sz w:val="28"/>
                <w:szCs w:val="28"/>
              </w:rPr>
              <w:t>руб./кв.м</w:t>
            </w:r>
          </w:p>
          <w:p w:rsidR="00CC5E4D" w:rsidRPr="005F2DDE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1D6683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п</w:t>
            </w:r>
            <w:r w:rsidRPr="001D6683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редоставление компенсаций гражданам части расходов по оплате процентов по ипотечным кредитам (займам), использованным для приобретения на территории Волгоградской о</w:t>
            </w:r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 xml:space="preserve">бласти строящегося и (или) построенного жилья </w:t>
            </w:r>
            <w:proofErr w:type="spellStart"/>
            <w:r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эконом</w:t>
            </w:r>
            <w:r w:rsidRPr="001D6683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класса</w:t>
            </w:r>
            <w:proofErr w:type="spellEnd"/>
            <w:r w:rsidRPr="001D6683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 xml:space="preserve"> в рамках повышения доступности ипотечного кредитования для жителей Волгоградской области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1D6683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D6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оэффициент доступности жилья (соотношение средней рыночной стоимости стандартного жилого помещения общей площадью 54 кв.м и среднего годового денежного дохода семьи, состоящей из 3 человек),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  <w:r w:rsidRPr="001D668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C5E4D" w:rsidRPr="001D6683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6683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</w:t>
            </w:r>
            <w:r w:rsidRPr="001D6683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  <w:r w:rsidRPr="001D66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E4D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683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1D6683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  <w:p w:rsidR="00CC5E4D" w:rsidRPr="001D6683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F6">
              <w:rPr>
                <w:rFonts w:ascii="Times New Roman" w:hAnsi="Times New Roman" w:cs="Times New Roman"/>
                <w:b/>
                <w:sz w:val="28"/>
                <w:szCs w:val="28"/>
              </w:rPr>
              <w:t>Рынок въездного туризма</w:t>
            </w:r>
          </w:p>
          <w:p w:rsidR="00CC5E4D" w:rsidRPr="00411BCB" w:rsidRDefault="00CC5E4D" w:rsidP="009C2F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Pr="00AF630E">
              <w:rPr>
                <w:rFonts w:ascii="Times New Roman" w:hAnsi="Times New Roman" w:cs="Times New Roman"/>
                <w:sz w:val="28"/>
                <w:szCs w:val="28"/>
              </w:rPr>
              <w:t>Создание нормативной правовой  базы по  добровольной аккредитации  экскурсоводов и гидов переводчиков на территории Волгоградской области</w:t>
            </w:r>
          </w:p>
          <w:p w:rsidR="00CC5E4D" w:rsidRPr="00AF630E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AF630E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AF630E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630E">
              <w:rPr>
                <w:rFonts w:ascii="Times New Roman" w:hAnsi="Times New Roman" w:cs="Times New Roman"/>
                <w:sz w:val="28"/>
                <w:szCs w:val="28"/>
              </w:rPr>
              <w:t>рганизация проведения аттестации экскурсоводов и гидов-переводчиков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AF630E" w:rsidRDefault="00CC5E4D" w:rsidP="009C2FBE">
            <w:pPr>
              <w:spacing w:line="240" w:lineRule="exact"/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</w:pPr>
            <w:r w:rsidRPr="00AF630E">
              <w:rPr>
                <w:rFonts w:ascii="Times New Roman" w:hAnsi="Times New Roman" w:cs="Times New Roman"/>
                <w:sz w:val="28"/>
                <w:szCs w:val="28"/>
              </w:rPr>
              <w:t>количество аттестованных экскурсоводов и гидов переводчиков,</w:t>
            </w:r>
            <w:r w:rsidRPr="00AF630E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 xml:space="preserve"> человек:</w:t>
            </w:r>
          </w:p>
          <w:p w:rsidR="00CC5E4D" w:rsidRPr="00AF630E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30E">
              <w:rPr>
                <w:rFonts w:ascii="Times New Roman" w:hAnsi="Times New Roman" w:cs="Times New Roman"/>
                <w:sz w:val="28"/>
                <w:szCs w:val="28"/>
              </w:rPr>
              <w:t>в 2015 году – 30;</w:t>
            </w:r>
          </w:p>
          <w:p w:rsidR="00CC5E4D" w:rsidRDefault="00CC5E4D" w:rsidP="009C2F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30E">
              <w:rPr>
                <w:rFonts w:ascii="Times New Roman" w:hAnsi="Times New Roman" w:cs="Times New Roman"/>
                <w:sz w:val="28"/>
                <w:szCs w:val="28"/>
              </w:rPr>
              <w:t>в 2016 году – 100</w:t>
            </w:r>
          </w:p>
          <w:p w:rsidR="00CC5E4D" w:rsidRDefault="00CC5E4D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0D94" w:rsidRDefault="000A0D94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0D94" w:rsidRPr="00AF630E" w:rsidRDefault="000A0D94" w:rsidP="009C2FBE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F6">
              <w:rPr>
                <w:rFonts w:ascii="Times New Roman" w:hAnsi="Times New Roman" w:cs="Times New Roman"/>
                <w:b/>
                <w:sz w:val="28"/>
                <w:szCs w:val="28"/>
              </w:rPr>
              <w:t>Рынок пищевой и перерабатывающей промышленности</w:t>
            </w:r>
          </w:p>
          <w:p w:rsidR="00CC5E4D" w:rsidRPr="00411BCB" w:rsidRDefault="00CC5E4D" w:rsidP="009C2F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C401AC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Pr="00C401A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складирования,  хранения и транспортировки     плодоовощной продукции     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C401AC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C401AC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товаропроизводителям, занимающимся выращиванием овощей и фруктов, для увеличения мощностей хранения в виде предоставления субсидий в рамках господдержки, тыс.тонн: в 2015 году – </w:t>
            </w:r>
            <w:r w:rsidRPr="00C401AC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>162,6</w:t>
            </w:r>
            <w:r w:rsidRPr="00C401AC">
              <w:rPr>
                <w:rFonts w:ascii="Times New Roman" w:hAnsi="Times New Roman" w:cs="Times New Roman"/>
                <w:sz w:val="28"/>
                <w:szCs w:val="28"/>
              </w:rPr>
              <w:t xml:space="preserve"> тыс.тонн;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40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2016 году – </w:t>
            </w:r>
            <w:r w:rsidRPr="00C401AC">
              <w:rPr>
                <w:rFonts w:ascii="Times New Roman" w:hAnsi="Times New Roman" w:cs="Times New Roman"/>
                <w:spacing w:val="-4"/>
                <w:kern w:val="24"/>
                <w:sz w:val="28"/>
                <w:szCs w:val="28"/>
              </w:rPr>
              <w:t xml:space="preserve">175,6 </w:t>
            </w:r>
            <w:r w:rsidRPr="00C401AC">
              <w:rPr>
                <w:rFonts w:ascii="Times New Roman" w:hAnsi="Times New Roman" w:cs="Times New Roman"/>
                <w:sz w:val="28"/>
                <w:szCs w:val="28"/>
              </w:rPr>
              <w:t>тыс.тон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CC5E4D" w:rsidRPr="00C401AC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15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CC5E4D">
            <w:pPr>
              <w:pStyle w:val="ConsPlusNormal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Системные мероприятия по развитию конкурентной среды в </w:t>
            </w:r>
            <w:r w:rsidR="00513550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Волгоградской области</w:t>
            </w:r>
          </w:p>
          <w:p w:rsidR="00CC5E4D" w:rsidRPr="00530218" w:rsidRDefault="00CC5E4D" w:rsidP="009C2FBE">
            <w:pPr>
              <w:pStyle w:val="ConsPlusNormal"/>
              <w:spacing w:line="240" w:lineRule="exact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CE67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  <w:p w:rsidR="00CC5E4D" w:rsidRPr="00CE67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4E4703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4703">
              <w:rPr>
                <w:rFonts w:ascii="Times New Roman" w:hAnsi="Times New Roman" w:cs="Times New Roman"/>
                <w:sz w:val="28"/>
                <w:szCs w:val="28"/>
              </w:rPr>
              <w:t>Число участников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нкурентных процедур определения </w:t>
            </w:r>
            <w:r w:rsidRPr="004E4703">
              <w:rPr>
                <w:rFonts w:ascii="Times New Roman" w:hAnsi="Times New Roman" w:cs="Times New Roman"/>
                <w:sz w:val="28"/>
                <w:szCs w:val="28"/>
              </w:rPr>
              <w:t>поставщиков (подрядчиков, исполнителей) при осуществлении закупок для обеспечения государственных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703">
              <w:rPr>
                <w:rFonts w:ascii="Times New Roman" w:hAnsi="Times New Roman" w:cs="Times New Roman"/>
                <w:sz w:val="28"/>
                <w:szCs w:val="28"/>
              </w:rPr>
              <w:t>муниципальных нужд к 2016 году – не менее 1,5</w:t>
            </w: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.Совершенствование процессов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объектами государственной 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собственности субъекта Российской Федерации</w:t>
            </w:r>
          </w:p>
          <w:p w:rsidR="00CC5E4D" w:rsidRPr="00B25FE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613FA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балансовых комиссий по рассмотрению результатов финансово-хозяйственной деятельности государственных предприятий Волгоградской области и организаций, находящихся в государственной собственности Волгоградской области</w:t>
            </w:r>
          </w:p>
          <w:p w:rsidR="00CC5E4D" w:rsidRPr="00D613F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D613F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D613F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613FA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эффективности управления объектами государственной собственности, увеличение доходов областного бюджета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613FA">
              <w:rPr>
                <w:rFonts w:ascii="Times New Roman" w:eastAsia="Calibri" w:hAnsi="Times New Roman" w:cs="Times New Roman"/>
                <w:sz w:val="28"/>
                <w:szCs w:val="28"/>
              </w:rPr>
              <w:t>оля безубыточных предприятий и организаций, находящихся в государственной собственности Волгоградской области, от общего количества предприятий и организаций, ведущих хозяйственную деятельность, находящихся в государственной собственности Волгоградской области, к 2020 году должна составить не менее 70%</w:t>
            </w:r>
          </w:p>
          <w:p w:rsidR="00CC5E4D" w:rsidRPr="00D613FA" w:rsidRDefault="00CC5E4D" w:rsidP="009C2FBE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D613F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CE677A" w:rsidRDefault="00CC5E4D" w:rsidP="009C2FBE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613FA">
              <w:rPr>
                <w:rFonts w:ascii="Times New Roman" w:eastAsia="Calibri" w:hAnsi="Times New Roman" w:cs="Times New Roman"/>
                <w:sz w:val="28"/>
                <w:szCs w:val="28"/>
              </w:rPr>
              <w:t>редние темпы сокращения количества государственных унитарных предприятий Волгоградской области, пакетов акций (долей) хозяйствен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613FA">
              <w:rPr>
                <w:rFonts w:ascii="Times New Roman" w:eastAsia="Calibri" w:hAnsi="Times New Roman" w:cs="Times New Roman"/>
                <w:sz w:val="28"/>
                <w:szCs w:val="28"/>
              </w:rPr>
              <w:t>ых обществ, находящихся в государственной собственности Волгоградской области не менее 2 % в год, начиная с 2016 года</w:t>
            </w:r>
          </w:p>
          <w:p w:rsidR="00CC5E4D" w:rsidRPr="00CE677A" w:rsidRDefault="00CC5E4D" w:rsidP="009C2FBE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B25FED">
              <w:rPr>
                <w:rFonts w:ascii="Times New Roman" w:hAnsi="Times New Roman" w:cs="Times New Roman"/>
                <w:sz w:val="28"/>
                <w:szCs w:val="28"/>
              </w:rPr>
              <w:t>.Создание условий для развития конкуренции на рынке строительства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CE67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      </w:r>
          </w:p>
          <w:p w:rsidR="00CC5E4D" w:rsidRPr="00CE67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.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азработка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нескольких сфер, единиц:</w:t>
            </w:r>
          </w:p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в 2015 году - 1;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C5E4D" w:rsidRPr="00F633E3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.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рименение механизмов государственно-частного партнерства, в том числе посредством заключения концессионного соглашения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оличество проектов с применением механизмов государственно-частного партнерства, в том числе посредством заключения концессионного соглашения, единиц:</w:t>
            </w:r>
          </w:p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в 2015 году - 2;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42BB">
              <w:rPr>
                <w:rFonts w:ascii="Times New Roman" w:hAnsi="Times New Roman" w:cs="Times New Roman"/>
                <w:sz w:val="28"/>
                <w:szCs w:val="28"/>
              </w:rPr>
              <w:t>в 2016 году – 7</w:t>
            </w:r>
          </w:p>
          <w:p w:rsidR="00CC5E4D" w:rsidRPr="009642B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одействие развитию практики применения механизмов государственно-частного партнерства: развитие обеспечивающей инфраструктуры для создания туристско-рекреационного кластера на территории Волгоградской области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0A0D9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Волгоградской области от 08</w:t>
            </w:r>
            <w:r w:rsidR="000A0D9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A0D9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№ 217-п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"Об утверждении государственной программы Волгоградской области "Развитие культуры и туризма в Волгоградской области" на 2015 - 2020 годы"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наличие в региональной практике проектов с применением механизмов государственно-частного партнерства в сфере туризма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заключенных соглашений и иных договоров </w:t>
            </w:r>
            <w:proofErr w:type="spellStart"/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частно-государственного</w:t>
            </w:r>
            <w:proofErr w:type="spellEnd"/>
            <w:r w:rsidRPr="0021751D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партнерства в сфере культуры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– 0;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0;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1 единица;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1 единица;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 единица;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 единица</w:t>
            </w:r>
          </w:p>
          <w:p w:rsidR="00CC5E4D" w:rsidRDefault="00CC5E4D" w:rsidP="009C2FBE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21751D" w:rsidRDefault="00CC5E4D" w:rsidP="009C2FBE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доля расходов областного бюджета,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 xml:space="preserve">выделяемых на </w:t>
            </w:r>
          </w:p>
          <w:p w:rsidR="00CC5E4D" w:rsidRPr="0021751D" w:rsidRDefault="00CC5E4D" w:rsidP="009C2FBE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деятельности организаций в сфере 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751D">
              <w:rPr>
                <w:rFonts w:ascii="Times New Roman" w:hAnsi="Times New Roman" w:cs="Times New Roman"/>
                <w:sz w:val="28"/>
                <w:szCs w:val="28"/>
              </w:rPr>
              <w:t>культуры, распределяемых на конкурсной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 – 0,8 процента;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0,8 процента;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0,8 процента;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2 процента;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5 процентов;</w:t>
            </w:r>
          </w:p>
          <w:p w:rsidR="00CC5E4D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10 процентов</w:t>
            </w:r>
          </w:p>
          <w:p w:rsidR="00CC5E4D" w:rsidRPr="00CE677A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E4D" w:rsidTr="006E2702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31C6B" w:rsidRDefault="00CC5E4D" w:rsidP="009C2FB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31C6B">
              <w:rPr>
                <w:rFonts w:ascii="Times New Roman" w:hAnsi="Times New Roman" w:cs="Times New Roman"/>
                <w:sz w:val="28"/>
                <w:szCs w:val="28"/>
              </w:rPr>
              <w:t>.Содействие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:rsidR="00CC5E4D" w:rsidRPr="00B31C6B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31C6B">
              <w:rPr>
                <w:rFonts w:ascii="Times New Roman" w:hAnsi="Times New Roman"/>
                <w:sz w:val="28"/>
                <w:szCs w:val="28"/>
              </w:rPr>
              <w:t xml:space="preserve">омплекс информационно-разъяснительных мероприятий: семинары, разработка и внедрение методических пособий </w:t>
            </w:r>
          </w:p>
          <w:p w:rsidR="00CC5E4D" w:rsidRPr="00B31C6B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31C6B">
              <w:rPr>
                <w:rFonts w:ascii="Times New Roman" w:hAnsi="Times New Roman"/>
                <w:sz w:val="28"/>
                <w:szCs w:val="28"/>
              </w:rPr>
              <w:t>в 2015 году – не менее 7;</w:t>
            </w:r>
          </w:p>
          <w:p w:rsidR="00CC5E4D" w:rsidRPr="00B31C6B" w:rsidRDefault="00CC5E4D" w:rsidP="009C2FB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31C6B">
              <w:rPr>
                <w:rFonts w:ascii="Times New Roman" w:hAnsi="Times New Roman"/>
                <w:sz w:val="28"/>
                <w:szCs w:val="28"/>
              </w:rPr>
              <w:t>в 2016 году – не менее 10</w:t>
            </w:r>
          </w:p>
        </w:tc>
      </w:tr>
    </w:tbl>
    <w:p w:rsidR="00CC5E4D" w:rsidRPr="00B25FED" w:rsidRDefault="00CC5E4D" w:rsidP="00CC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5E4D" w:rsidRDefault="00CC5E4D" w:rsidP="002B40A5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10598" w:type="dxa"/>
        <w:tblLook w:val="04A0"/>
      </w:tblPr>
      <w:tblGrid>
        <w:gridCol w:w="4678"/>
      </w:tblGrid>
      <w:tr w:rsidR="00402412" w:rsidTr="00402412">
        <w:tc>
          <w:tcPr>
            <w:tcW w:w="4678" w:type="dxa"/>
          </w:tcPr>
          <w:p w:rsidR="00402412" w:rsidRDefault="00402412" w:rsidP="00DB1D4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02412" w:rsidTr="00402412">
        <w:tc>
          <w:tcPr>
            <w:tcW w:w="4678" w:type="dxa"/>
          </w:tcPr>
          <w:p w:rsidR="00402412" w:rsidRDefault="00402412" w:rsidP="007256AC">
            <w:pPr>
              <w:pStyle w:val="greypl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2B40A5" w:rsidRPr="002B40A5" w:rsidRDefault="002B40A5" w:rsidP="002B40A5">
      <w:pPr>
        <w:rPr>
          <w:rFonts w:ascii="Times New Roman" w:hAnsi="Times New Roman" w:cs="Times New Roman"/>
          <w:sz w:val="28"/>
          <w:szCs w:val="28"/>
        </w:rPr>
      </w:pPr>
    </w:p>
    <w:sectPr w:rsidR="002B40A5" w:rsidRPr="002B40A5" w:rsidSect="000A0D94">
      <w:headerReference w:type="default" r:id="rId8"/>
      <w:pgSz w:w="16838" w:h="11906" w:orient="landscape"/>
      <w:pgMar w:top="1559" w:right="1134" w:bottom="127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BF" w:rsidRPr="000A0D94" w:rsidRDefault="00D40ABF" w:rsidP="000A0D94">
      <w:pPr>
        <w:pStyle w:val="ConsPlusNormal"/>
        <w:rPr>
          <w:rFonts w:ascii="Arial" w:hAnsi="Arial" w:cs="Arial"/>
          <w:sz w:val="26"/>
          <w:szCs w:val="26"/>
        </w:rPr>
      </w:pPr>
      <w:r>
        <w:separator/>
      </w:r>
    </w:p>
  </w:endnote>
  <w:endnote w:type="continuationSeparator" w:id="0">
    <w:p w:rsidR="00D40ABF" w:rsidRPr="000A0D94" w:rsidRDefault="00D40ABF" w:rsidP="000A0D94">
      <w:pPr>
        <w:pStyle w:val="ConsPlusNormal"/>
        <w:rPr>
          <w:rFonts w:ascii="Arial" w:hAnsi="Arial" w:cs="Arial"/>
          <w:sz w:val="26"/>
          <w:szCs w:val="2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BF" w:rsidRPr="000A0D94" w:rsidRDefault="00D40ABF" w:rsidP="000A0D94">
      <w:pPr>
        <w:pStyle w:val="ConsPlusNormal"/>
        <w:rPr>
          <w:rFonts w:ascii="Arial" w:hAnsi="Arial" w:cs="Arial"/>
          <w:sz w:val="26"/>
          <w:szCs w:val="26"/>
        </w:rPr>
      </w:pPr>
      <w:r>
        <w:separator/>
      </w:r>
    </w:p>
  </w:footnote>
  <w:footnote w:type="continuationSeparator" w:id="0">
    <w:p w:rsidR="00D40ABF" w:rsidRPr="000A0D94" w:rsidRDefault="00D40ABF" w:rsidP="000A0D94">
      <w:pPr>
        <w:pStyle w:val="ConsPlusNormal"/>
        <w:rPr>
          <w:rFonts w:ascii="Arial" w:hAnsi="Arial" w:cs="Arial"/>
          <w:sz w:val="26"/>
          <w:szCs w:val="2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1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0D94" w:rsidRPr="00465B64" w:rsidRDefault="00C843A2">
        <w:pPr>
          <w:pStyle w:val="a8"/>
          <w:jc w:val="center"/>
          <w:rPr>
            <w:rFonts w:ascii="Times New Roman" w:hAnsi="Times New Roman" w:cs="Times New Roman"/>
          </w:rPr>
        </w:pPr>
        <w:r w:rsidRPr="00465B64">
          <w:rPr>
            <w:rFonts w:ascii="Times New Roman" w:hAnsi="Times New Roman" w:cs="Times New Roman"/>
          </w:rPr>
          <w:fldChar w:fldCharType="begin"/>
        </w:r>
        <w:r w:rsidR="00D4293E" w:rsidRPr="00465B64">
          <w:rPr>
            <w:rFonts w:ascii="Times New Roman" w:hAnsi="Times New Roman" w:cs="Times New Roman"/>
          </w:rPr>
          <w:instrText xml:space="preserve"> PAGE   \* MERGEFORMAT </w:instrText>
        </w:r>
        <w:r w:rsidRPr="00465B64">
          <w:rPr>
            <w:rFonts w:ascii="Times New Roman" w:hAnsi="Times New Roman" w:cs="Times New Roman"/>
          </w:rPr>
          <w:fldChar w:fldCharType="separate"/>
        </w:r>
        <w:r w:rsidR="00DB1D4D">
          <w:rPr>
            <w:rFonts w:ascii="Times New Roman" w:hAnsi="Times New Roman" w:cs="Times New Roman"/>
            <w:noProof/>
          </w:rPr>
          <w:t>2</w:t>
        </w:r>
        <w:r w:rsidRPr="00465B64">
          <w:rPr>
            <w:rFonts w:ascii="Times New Roman" w:hAnsi="Times New Roman" w:cs="Times New Roman"/>
          </w:rPr>
          <w:fldChar w:fldCharType="end"/>
        </w:r>
      </w:p>
    </w:sdtContent>
  </w:sdt>
  <w:p w:rsidR="000A0D94" w:rsidRDefault="000A0D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A0A"/>
    <w:multiLevelType w:val="hybridMultilevel"/>
    <w:tmpl w:val="6784A5E6"/>
    <w:lvl w:ilvl="0" w:tplc="A7D4F5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A6AC2"/>
    <w:multiLevelType w:val="hybridMultilevel"/>
    <w:tmpl w:val="005285EE"/>
    <w:lvl w:ilvl="0" w:tplc="23C4901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6314"/>
    <w:multiLevelType w:val="hybridMultilevel"/>
    <w:tmpl w:val="264C96BC"/>
    <w:lvl w:ilvl="0" w:tplc="E7EE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B95C6F"/>
    <w:multiLevelType w:val="hybridMultilevel"/>
    <w:tmpl w:val="957C277A"/>
    <w:lvl w:ilvl="0" w:tplc="341EC56E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532A3B"/>
    <w:multiLevelType w:val="hybridMultilevel"/>
    <w:tmpl w:val="37F8AD64"/>
    <w:lvl w:ilvl="0" w:tplc="1F765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1401B"/>
    <w:multiLevelType w:val="hybridMultilevel"/>
    <w:tmpl w:val="F4BED9C2"/>
    <w:lvl w:ilvl="0" w:tplc="F978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15799"/>
    <w:multiLevelType w:val="hybridMultilevel"/>
    <w:tmpl w:val="737AA098"/>
    <w:lvl w:ilvl="0" w:tplc="0BA63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632D4"/>
    <w:rsid w:val="00006BC2"/>
    <w:rsid w:val="0000779F"/>
    <w:rsid w:val="0003389B"/>
    <w:rsid w:val="00042697"/>
    <w:rsid w:val="0004790B"/>
    <w:rsid w:val="000538F5"/>
    <w:rsid w:val="000877E6"/>
    <w:rsid w:val="00092763"/>
    <w:rsid w:val="000979DF"/>
    <w:rsid w:val="00097AE2"/>
    <w:rsid w:val="000A0D94"/>
    <w:rsid w:val="000C4B38"/>
    <w:rsid w:val="000C70B3"/>
    <w:rsid w:val="00107B10"/>
    <w:rsid w:val="0011245E"/>
    <w:rsid w:val="00117D3C"/>
    <w:rsid w:val="00133ABC"/>
    <w:rsid w:val="00137B95"/>
    <w:rsid w:val="00150282"/>
    <w:rsid w:val="0015710C"/>
    <w:rsid w:val="001813C7"/>
    <w:rsid w:val="001A64AC"/>
    <w:rsid w:val="001A6921"/>
    <w:rsid w:val="001E11CB"/>
    <w:rsid w:val="00242056"/>
    <w:rsid w:val="0024513D"/>
    <w:rsid w:val="0025173A"/>
    <w:rsid w:val="0025638C"/>
    <w:rsid w:val="00257875"/>
    <w:rsid w:val="00290356"/>
    <w:rsid w:val="002B40A5"/>
    <w:rsid w:val="002B6286"/>
    <w:rsid w:val="002B6F22"/>
    <w:rsid w:val="002E5260"/>
    <w:rsid w:val="002E6F56"/>
    <w:rsid w:val="00307720"/>
    <w:rsid w:val="003145D6"/>
    <w:rsid w:val="00344B4D"/>
    <w:rsid w:val="00347D5E"/>
    <w:rsid w:val="003645EF"/>
    <w:rsid w:val="003722AA"/>
    <w:rsid w:val="00391268"/>
    <w:rsid w:val="003B1716"/>
    <w:rsid w:val="003C5C68"/>
    <w:rsid w:val="003D6C86"/>
    <w:rsid w:val="003F52E5"/>
    <w:rsid w:val="00402412"/>
    <w:rsid w:val="00403DF4"/>
    <w:rsid w:val="00416D26"/>
    <w:rsid w:val="00427CFE"/>
    <w:rsid w:val="00444A19"/>
    <w:rsid w:val="00447809"/>
    <w:rsid w:val="00456FE2"/>
    <w:rsid w:val="00464B3E"/>
    <w:rsid w:val="00465B64"/>
    <w:rsid w:val="00470472"/>
    <w:rsid w:val="00475A30"/>
    <w:rsid w:val="0049628D"/>
    <w:rsid w:val="004E0FFC"/>
    <w:rsid w:val="004E78C7"/>
    <w:rsid w:val="00513550"/>
    <w:rsid w:val="005620E5"/>
    <w:rsid w:val="00572BD4"/>
    <w:rsid w:val="00573A98"/>
    <w:rsid w:val="00573C27"/>
    <w:rsid w:val="005763E3"/>
    <w:rsid w:val="005A23F4"/>
    <w:rsid w:val="005A5AED"/>
    <w:rsid w:val="005B7DD0"/>
    <w:rsid w:val="005F1A72"/>
    <w:rsid w:val="005F32A5"/>
    <w:rsid w:val="005F4841"/>
    <w:rsid w:val="00603CB2"/>
    <w:rsid w:val="00604B3B"/>
    <w:rsid w:val="00605022"/>
    <w:rsid w:val="006070FE"/>
    <w:rsid w:val="00607DD5"/>
    <w:rsid w:val="00614C81"/>
    <w:rsid w:val="00614EA0"/>
    <w:rsid w:val="00620020"/>
    <w:rsid w:val="00624612"/>
    <w:rsid w:val="00624BB8"/>
    <w:rsid w:val="006308A8"/>
    <w:rsid w:val="0064399F"/>
    <w:rsid w:val="00646C5B"/>
    <w:rsid w:val="00655816"/>
    <w:rsid w:val="00661A5B"/>
    <w:rsid w:val="006629A1"/>
    <w:rsid w:val="006638CE"/>
    <w:rsid w:val="006B144F"/>
    <w:rsid w:val="006B51BF"/>
    <w:rsid w:val="006D6788"/>
    <w:rsid w:val="006E2702"/>
    <w:rsid w:val="00707302"/>
    <w:rsid w:val="007176E5"/>
    <w:rsid w:val="007176F5"/>
    <w:rsid w:val="00734124"/>
    <w:rsid w:val="007632D4"/>
    <w:rsid w:val="00782C5E"/>
    <w:rsid w:val="007A3BBA"/>
    <w:rsid w:val="007B080A"/>
    <w:rsid w:val="007C3128"/>
    <w:rsid w:val="007C6D82"/>
    <w:rsid w:val="007F5B16"/>
    <w:rsid w:val="00821200"/>
    <w:rsid w:val="00822368"/>
    <w:rsid w:val="00823E4B"/>
    <w:rsid w:val="008241D3"/>
    <w:rsid w:val="00833DE0"/>
    <w:rsid w:val="00834777"/>
    <w:rsid w:val="008513F8"/>
    <w:rsid w:val="00891BD3"/>
    <w:rsid w:val="008A38D6"/>
    <w:rsid w:val="008B5F86"/>
    <w:rsid w:val="008C0F5F"/>
    <w:rsid w:val="008C1C8F"/>
    <w:rsid w:val="008D00D2"/>
    <w:rsid w:val="008D2498"/>
    <w:rsid w:val="008E12D4"/>
    <w:rsid w:val="008F0935"/>
    <w:rsid w:val="008F27F3"/>
    <w:rsid w:val="008F7360"/>
    <w:rsid w:val="009007F6"/>
    <w:rsid w:val="0095607D"/>
    <w:rsid w:val="00962D07"/>
    <w:rsid w:val="009700B7"/>
    <w:rsid w:val="009A54AC"/>
    <w:rsid w:val="009D608E"/>
    <w:rsid w:val="009D64E8"/>
    <w:rsid w:val="00A004D3"/>
    <w:rsid w:val="00A13D2F"/>
    <w:rsid w:val="00A32773"/>
    <w:rsid w:val="00A32BD1"/>
    <w:rsid w:val="00A425EF"/>
    <w:rsid w:val="00A71258"/>
    <w:rsid w:val="00A72E40"/>
    <w:rsid w:val="00A80137"/>
    <w:rsid w:val="00A819BE"/>
    <w:rsid w:val="00A860B5"/>
    <w:rsid w:val="00AB66B4"/>
    <w:rsid w:val="00B038B8"/>
    <w:rsid w:val="00B03F30"/>
    <w:rsid w:val="00B04CC7"/>
    <w:rsid w:val="00B10CDB"/>
    <w:rsid w:val="00B320A4"/>
    <w:rsid w:val="00BB2A12"/>
    <w:rsid w:val="00C04704"/>
    <w:rsid w:val="00C05660"/>
    <w:rsid w:val="00C100EA"/>
    <w:rsid w:val="00C231A8"/>
    <w:rsid w:val="00C302E6"/>
    <w:rsid w:val="00C57B47"/>
    <w:rsid w:val="00C7746C"/>
    <w:rsid w:val="00C81BC5"/>
    <w:rsid w:val="00C843A2"/>
    <w:rsid w:val="00C95B60"/>
    <w:rsid w:val="00CA512D"/>
    <w:rsid w:val="00CB06B4"/>
    <w:rsid w:val="00CB4F2F"/>
    <w:rsid w:val="00CC5E4D"/>
    <w:rsid w:val="00CE163E"/>
    <w:rsid w:val="00CF7A5A"/>
    <w:rsid w:val="00D0111C"/>
    <w:rsid w:val="00D2727A"/>
    <w:rsid w:val="00D30176"/>
    <w:rsid w:val="00D40ABF"/>
    <w:rsid w:val="00D4293E"/>
    <w:rsid w:val="00D56397"/>
    <w:rsid w:val="00D80743"/>
    <w:rsid w:val="00D83C6C"/>
    <w:rsid w:val="00DB1D4D"/>
    <w:rsid w:val="00DB70D7"/>
    <w:rsid w:val="00DC7F25"/>
    <w:rsid w:val="00DD33BC"/>
    <w:rsid w:val="00E03D22"/>
    <w:rsid w:val="00E10731"/>
    <w:rsid w:val="00E2748F"/>
    <w:rsid w:val="00E31531"/>
    <w:rsid w:val="00E459F3"/>
    <w:rsid w:val="00E543C0"/>
    <w:rsid w:val="00E71BD8"/>
    <w:rsid w:val="00E92D13"/>
    <w:rsid w:val="00EB574F"/>
    <w:rsid w:val="00EC2658"/>
    <w:rsid w:val="00ED63CF"/>
    <w:rsid w:val="00EE66AE"/>
    <w:rsid w:val="00EF1851"/>
    <w:rsid w:val="00EF4F04"/>
    <w:rsid w:val="00EF7251"/>
    <w:rsid w:val="00EF73EA"/>
    <w:rsid w:val="00F27C7D"/>
    <w:rsid w:val="00F37343"/>
    <w:rsid w:val="00F45F33"/>
    <w:rsid w:val="00F53412"/>
    <w:rsid w:val="00F63D9E"/>
    <w:rsid w:val="00F95D88"/>
    <w:rsid w:val="00FD2EF9"/>
    <w:rsid w:val="00FD6737"/>
    <w:rsid w:val="00FE3FE2"/>
    <w:rsid w:val="00FF1B15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32D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4">
    <w:name w:val="Plain Text"/>
    <w:basedOn w:val="a"/>
    <w:link w:val="a5"/>
    <w:rsid w:val="007C6D82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C6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1258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7125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pl">
    <w:name w:val="grey_pl"/>
    <w:basedOn w:val="a"/>
    <w:rsid w:val="002B40A5"/>
    <w:pPr>
      <w:widowControl/>
      <w:shd w:val="clear" w:color="auto" w:fill="E1E5F0"/>
      <w:autoSpaceDE/>
      <w:autoSpaceDN/>
      <w:adjustRightInd/>
      <w:spacing w:line="240" w:lineRule="atLeast"/>
    </w:pPr>
    <w:rPr>
      <w:rFonts w:ascii="Times New Roman" w:hAnsi="Times New Roman" w:cs="Times New Roman"/>
      <w:color w:val="2D4994"/>
      <w:sz w:val="22"/>
      <w:szCs w:val="22"/>
    </w:rPr>
  </w:style>
  <w:style w:type="paragraph" w:customStyle="1" w:styleId="ConsPlusNormal">
    <w:name w:val="ConsPlusNormal"/>
    <w:rsid w:val="0009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A0D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0D94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A0D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0D94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CBEE8-684A-4607-8906-C72AA4C4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ES_POPOVA</dc:creator>
  <cp:lastModifiedBy>O_Koloskova</cp:lastModifiedBy>
  <cp:revision>3</cp:revision>
  <cp:lastPrinted>2015-12-02T06:50:00Z</cp:lastPrinted>
  <dcterms:created xsi:type="dcterms:W3CDTF">2015-12-02T06:49:00Z</dcterms:created>
  <dcterms:modified xsi:type="dcterms:W3CDTF">2015-12-02T06:50:00Z</dcterms:modified>
</cp:coreProperties>
</file>