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CC" w:rsidRDefault="00571FCC" w:rsidP="00571FCC">
      <w:pPr>
        <w:pStyle w:val="style13206741270000000675msonormal"/>
        <w:shd w:val="clear" w:color="auto" w:fill="FFFFFF"/>
        <w:spacing w:before="0" w:beforeAutospacing="0" w:after="0" w:afterAutospacing="0"/>
        <w:ind w:left="4990"/>
        <w:jc w:val="center"/>
        <w:rPr>
          <w:rFonts w:ascii="Arial" w:hAnsi="Arial" w:cs="Arial"/>
          <w:color w:val="0000FF"/>
          <w:sz w:val="20"/>
          <w:szCs w:val="20"/>
        </w:rPr>
      </w:pPr>
      <w:r>
        <w:rPr>
          <w:color w:val="000000"/>
          <w:sz w:val="20"/>
          <w:szCs w:val="20"/>
        </w:rPr>
        <w:t>УТВЕРЖДЕНЫ</w:t>
      </w:r>
    </w:p>
    <w:p w:rsidR="00571FCC" w:rsidRDefault="00571FCC" w:rsidP="00571FCC">
      <w:pPr>
        <w:pStyle w:val="style13206741270000000675msonormal"/>
        <w:shd w:val="clear" w:color="auto" w:fill="FFFFFF"/>
        <w:spacing w:before="0" w:beforeAutospacing="0" w:after="0" w:afterAutospacing="0"/>
        <w:ind w:left="4990"/>
        <w:jc w:val="center"/>
        <w:rPr>
          <w:rFonts w:ascii="Arial" w:hAnsi="Arial" w:cs="Arial"/>
          <w:color w:val="0000FF"/>
          <w:sz w:val="20"/>
          <w:szCs w:val="20"/>
        </w:rPr>
      </w:pPr>
      <w:r>
        <w:rPr>
          <w:color w:val="000000"/>
          <w:sz w:val="20"/>
          <w:szCs w:val="20"/>
        </w:rPr>
        <w:t>постановлением Правительства</w:t>
      </w:r>
    </w:p>
    <w:p w:rsidR="00571FCC" w:rsidRDefault="00571FCC" w:rsidP="00571FCC">
      <w:pPr>
        <w:pStyle w:val="style13206741270000000675msonormal"/>
        <w:shd w:val="clear" w:color="auto" w:fill="FFFFFF"/>
        <w:spacing w:before="0" w:beforeAutospacing="0" w:after="0" w:afterAutospacing="0" w:line="240" w:lineRule="atLeast"/>
        <w:ind w:left="4990"/>
        <w:jc w:val="center"/>
        <w:rPr>
          <w:rFonts w:ascii="Arial" w:hAnsi="Arial" w:cs="Arial"/>
          <w:color w:val="0000FF"/>
          <w:sz w:val="20"/>
          <w:szCs w:val="20"/>
        </w:rPr>
      </w:pPr>
      <w:r>
        <w:rPr>
          <w:color w:val="000000"/>
          <w:sz w:val="20"/>
          <w:szCs w:val="20"/>
        </w:rPr>
        <w:t>Российской Федерации</w:t>
      </w:r>
    </w:p>
    <w:p w:rsidR="00571FCC" w:rsidRDefault="00571FCC" w:rsidP="00571FCC">
      <w:pPr>
        <w:pStyle w:val="style13206741270000000675msonormal"/>
        <w:shd w:val="clear" w:color="auto" w:fill="FFFFFF"/>
        <w:spacing w:before="0" w:beforeAutospacing="0" w:after="0" w:afterAutospacing="0" w:line="240" w:lineRule="atLeast"/>
        <w:ind w:left="4990"/>
        <w:rPr>
          <w:color w:val="000000"/>
          <w:sz w:val="20"/>
          <w:szCs w:val="20"/>
        </w:rPr>
      </w:pPr>
      <w:r>
        <w:rPr>
          <w:color w:val="000000"/>
          <w:sz w:val="20"/>
          <w:szCs w:val="20"/>
        </w:rPr>
        <w:t xml:space="preserve">                                 </w:t>
      </w:r>
      <w:r>
        <w:rPr>
          <w:color w:val="000000"/>
          <w:sz w:val="20"/>
          <w:szCs w:val="20"/>
        </w:rPr>
        <w:t>от 4 ноября 2011 г. № 877</w:t>
      </w:r>
    </w:p>
    <w:p w:rsidR="00571FCC" w:rsidRDefault="00571FCC" w:rsidP="00571FCC">
      <w:pPr>
        <w:pStyle w:val="style13206741270000000675msonormal"/>
        <w:shd w:val="clear" w:color="auto" w:fill="FFFFFF"/>
        <w:spacing w:before="0" w:beforeAutospacing="0" w:after="0" w:afterAutospacing="0" w:line="240" w:lineRule="atLeast"/>
        <w:ind w:left="4990"/>
        <w:rPr>
          <w:rFonts w:ascii="Arial" w:hAnsi="Arial" w:cs="Arial"/>
          <w:color w:val="0000FF"/>
          <w:sz w:val="20"/>
          <w:szCs w:val="20"/>
        </w:rPr>
      </w:pPr>
    </w:p>
    <w:p w:rsidR="00571FCC" w:rsidRDefault="00571FCC" w:rsidP="00571FCC">
      <w:pPr>
        <w:pStyle w:val="style13206741270000000675msonormal"/>
        <w:shd w:val="clear" w:color="auto" w:fill="FFFFFF"/>
        <w:spacing w:before="0" w:beforeAutospacing="0" w:after="0" w:afterAutospacing="0"/>
        <w:jc w:val="center"/>
        <w:rPr>
          <w:rFonts w:ascii="Arial" w:hAnsi="Arial" w:cs="Arial"/>
          <w:color w:val="0000FF"/>
          <w:sz w:val="20"/>
          <w:szCs w:val="20"/>
        </w:rPr>
      </w:pPr>
      <w:bookmarkStart w:id="0" w:name="_GoBack"/>
      <w:r>
        <w:rPr>
          <w:b/>
          <w:bCs/>
          <w:color w:val="000000"/>
          <w:sz w:val="20"/>
          <w:szCs w:val="20"/>
        </w:rPr>
        <w:t xml:space="preserve">И </w:t>
      </w:r>
      <w:proofErr w:type="gramStart"/>
      <w:r>
        <w:rPr>
          <w:b/>
          <w:bCs/>
          <w:color w:val="000000"/>
          <w:sz w:val="20"/>
          <w:szCs w:val="20"/>
        </w:rPr>
        <w:t>З</w:t>
      </w:r>
      <w:proofErr w:type="gramEnd"/>
      <w:r>
        <w:rPr>
          <w:b/>
          <w:bCs/>
          <w:color w:val="000000"/>
          <w:sz w:val="20"/>
          <w:szCs w:val="20"/>
        </w:rPr>
        <w:t xml:space="preserve"> М Е Н Е Н И Я,</w:t>
      </w:r>
    </w:p>
    <w:p w:rsidR="00571FCC" w:rsidRDefault="00571FCC" w:rsidP="00571FCC">
      <w:pPr>
        <w:pStyle w:val="style13206741270000000675msonormal"/>
        <w:shd w:val="clear" w:color="auto" w:fill="FFFFFF"/>
        <w:spacing w:before="0" w:beforeAutospacing="0" w:after="0" w:afterAutospacing="0" w:line="240" w:lineRule="atLeast"/>
        <w:jc w:val="center"/>
        <w:rPr>
          <w:rFonts w:ascii="Arial" w:hAnsi="Arial" w:cs="Arial"/>
          <w:color w:val="0000FF"/>
          <w:sz w:val="20"/>
          <w:szCs w:val="20"/>
        </w:rPr>
      </w:pPr>
      <w:r>
        <w:rPr>
          <w:b/>
          <w:bCs/>
          <w:color w:val="000000"/>
          <w:sz w:val="20"/>
          <w:szCs w:val="20"/>
        </w:rPr>
        <w:t xml:space="preserve">которые вносятся в </w:t>
      </w:r>
      <w:r>
        <w:rPr>
          <w:b/>
          <w:color w:val="000000"/>
          <w:sz w:val="20"/>
          <w:szCs w:val="20"/>
        </w:rPr>
        <w:t xml:space="preserve">акты Правительства </w:t>
      </w:r>
      <w:proofErr w:type="gramStart"/>
      <w:r>
        <w:rPr>
          <w:b/>
          <w:color w:val="000000"/>
          <w:sz w:val="20"/>
          <w:szCs w:val="20"/>
        </w:rPr>
        <w:t>Российской</w:t>
      </w:r>
      <w:proofErr w:type="gramEnd"/>
    </w:p>
    <w:p w:rsidR="00571FCC" w:rsidRDefault="00571FCC" w:rsidP="00571FCC">
      <w:pPr>
        <w:pStyle w:val="style13206741270000000675msonormal"/>
        <w:shd w:val="clear" w:color="auto" w:fill="FFFFFF"/>
        <w:spacing w:before="0" w:beforeAutospacing="0" w:after="0" w:afterAutospacing="0" w:line="240" w:lineRule="atLeast"/>
        <w:jc w:val="center"/>
        <w:rPr>
          <w:rFonts w:ascii="Arial" w:hAnsi="Arial" w:cs="Arial"/>
          <w:color w:val="0000FF"/>
          <w:sz w:val="20"/>
          <w:szCs w:val="20"/>
        </w:rPr>
      </w:pPr>
      <w:r>
        <w:rPr>
          <w:b/>
          <w:color w:val="000000"/>
          <w:sz w:val="20"/>
          <w:szCs w:val="20"/>
        </w:rPr>
        <w:t>Федерации в целях совершенствования отношений между поставщиками и потребителями электрической энергии</w:t>
      </w:r>
      <w:r>
        <w:rPr>
          <w:b/>
          <w:color w:val="000000"/>
          <w:sz w:val="20"/>
          <w:szCs w:val="20"/>
        </w:rPr>
        <w:t xml:space="preserve"> </w:t>
      </w:r>
      <w:r>
        <w:rPr>
          <w:b/>
          <w:color w:val="000000"/>
          <w:sz w:val="20"/>
          <w:szCs w:val="20"/>
        </w:rPr>
        <w:t>на розничном рынке</w:t>
      </w:r>
    </w:p>
    <w:bookmarkEnd w:id="0"/>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1. В стандартах раскрытия информации субъектами оптового и розничных рынков электрической энергии, утвержденных п</w:t>
      </w:r>
      <w:r>
        <w:rPr>
          <w:sz w:val="20"/>
          <w:szCs w:val="20"/>
        </w:rPr>
        <w:t>остановлением</w:t>
      </w:r>
      <w:r>
        <w:rPr>
          <w:color w:val="000000"/>
          <w:sz w:val="20"/>
          <w:szCs w:val="20"/>
        </w:rPr>
        <w:t xml:space="preserve"> Правительства Российской Федерации от 21 января 2004 г. № 24 (Собрание законодательства Российской Федерации, 2004, № 4, ст. 282; 2010, № 33, ст. 4431):</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а) пункт 21 дополнить абзацем следующего содержания:</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 xml:space="preserve">"Информация, указанная в абзацах четвертом - тринадцатом пункта </w:t>
      </w:r>
      <w:r>
        <w:rPr>
          <w:sz w:val="20"/>
          <w:szCs w:val="20"/>
        </w:rPr>
        <w:t>22</w:t>
      </w:r>
      <w:r>
        <w:rPr>
          <w:color w:val="000000"/>
          <w:sz w:val="20"/>
          <w:szCs w:val="20"/>
        </w:rPr>
        <w:t xml:space="preserve"> настоящего документа, подлежит опубликованию на официальных сайтах соответствующих гарантирующих поставщиков в сети Интернет ежемесячно, в течение 25 календарных дней </w:t>
      </w:r>
      <w:proofErr w:type="gramStart"/>
      <w:r>
        <w:rPr>
          <w:color w:val="000000"/>
          <w:sz w:val="20"/>
          <w:szCs w:val="20"/>
        </w:rPr>
        <w:t>с даты окончания</w:t>
      </w:r>
      <w:proofErr w:type="gramEnd"/>
      <w:r>
        <w:rPr>
          <w:color w:val="000000"/>
          <w:sz w:val="20"/>
          <w:szCs w:val="20"/>
        </w:rPr>
        <w:t xml:space="preserve"> расчетного периода. Эта информация публикуется в отношении каждого месяца календарного года</w:t>
      </w:r>
      <w:proofErr w:type="gramStart"/>
      <w:r>
        <w:rPr>
          <w:color w:val="000000"/>
          <w:sz w:val="20"/>
          <w:szCs w:val="20"/>
        </w:rPr>
        <w:t xml:space="preserve">."; </w:t>
      </w:r>
      <w:proofErr w:type="gramEnd"/>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б) пункт 22 дополнить абзацами следующего содержания:</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объем фактического пикового потребления мощности гарантирующего поставщика отдельно на оптовом и розничном рынках;</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суммарный объем мощности, потребленной потребителями, находящимися на обслуживании данного гарантирующего поставщика, выбравшими для расчетов вторую - шестую ценовые категории, с разбивкой по категориям;</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объем мощности, приобретенной по регулируемым договорам, за каждый месяц;</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 xml:space="preserve">фактический объем потребления электрической энергии потребителями, осуществляющими расчеты по второй ценовой категории, с разбивкой по каждой зоне суток; </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 xml:space="preserve">объем покупки электрической энергии у гарантирующего поставщика для целей компенсации потерь в электрических сетях; </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объем мощности, учтенный в стоимости покупки электрической энергии у гарантирующего поставщика для целей компенсации потерь в электрических сетях;</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фактический объем покупки электрической энергии данного гарантирующего поставщика с разбивкой по объемам, купленным на оптовом и розничном рынках;</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суммарный объем электрической энергии, потребленный потребителями, находящимися на обслуживании данного гарантирующего поставщика, производящими расчет по второй - шестой ценовым категориям, с разбивкой по категориям;</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объем электрической энергии, приобретенной по регулируемым договорам, за каждый месяц</w:t>
      </w:r>
      <w:proofErr w:type="gramStart"/>
      <w:r>
        <w:rPr>
          <w:color w:val="000000"/>
          <w:sz w:val="20"/>
          <w:szCs w:val="20"/>
        </w:rPr>
        <w:t>.".</w:t>
      </w:r>
      <w:proofErr w:type="gramEnd"/>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 xml:space="preserve">2. </w:t>
      </w:r>
      <w:proofErr w:type="gramStart"/>
      <w:r>
        <w:rPr>
          <w:color w:val="000000"/>
          <w:sz w:val="20"/>
          <w:szCs w:val="20"/>
        </w:rPr>
        <w:t>В абзаце шестом пункта 23 Правил государственного регулирования и применения тарифов на электрическую и тепловую энергию в Российской Федерации, утвержденных постановлением Правительства Российской Федерации от 26 февраля 2004 г. № 109 "О ценообразовании в отношении электрической и тепловой энергии в Российской Федерации" (Собрание законодательства Российской Федерации, 2004, № 9, ст. 791; 2008, № 25, ст.2989;</w:t>
      </w:r>
      <w:proofErr w:type="gramEnd"/>
      <w:r>
        <w:rPr>
          <w:color w:val="000000"/>
          <w:sz w:val="20"/>
          <w:szCs w:val="20"/>
        </w:rPr>
        <w:t xml:space="preserve"> № </w:t>
      </w:r>
      <w:proofErr w:type="gramStart"/>
      <w:r>
        <w:rPr>
          <w:color w:val="000000"/>
          <w:sz w:val="20"/>
          <w:szCs w:val="20"/>
        </w:rPr>
        <w:t>27, ст. 3285; 2009, № 8, ст. 980; № 38, ст. 4479; 2010, № 23, ст. 2837), слова "либо диапазона числа часов использования мощности" исключить.</w:t>
      </w:r>
      <w:proofErr w:type="gramEnd"/>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3. В основных положениях функционирования розничных рынков электрической энергии, утвержденных постановлением Правительства Российской Федерации от 31 августа 2006 г. № 530 (Собрание законодательства Российской Федерации, 2006, № 37, ст. 3876; 2008, № 27, ст. 3285; 2009, № 20, ст.2475; № 43, ст. 5066; 2010, № 21, ст. 2610; 2011, № 11, ст. 1524):</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proofErr w:type="gramStart"/>
      <w:r>
        <w:rPr>
          <w:color w:val="000000"/>
          <w:sz w:val="20"/>
          <w:szCs w:val="20"/>
        </w:rPr>
        <w:t>а) подпункт "б" пункта 66 дополнить словами "в случае, если оплата таких отклонений предусмотрена настоящими положениями";</w:t>
      </w:r>
      <w:proofErr w:type="gramEnd"/>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proofErr w:type="gramStart"/>
      <w:r>
        <w:rPr>
          <w:color w:val="000000"/>
          <w:sz w:val="20"/>
          <w:szCs w:val="20"/>
        </w:rPr>
        <w:t xml:space="preserve">б) в абзаце втором пункта 67 слова "(за исключением покупателей на </w:t>
      </w:r>
      <w:r>
        <w:rPr>
          <w:sz w:val="20"/>
          <w:szCs w:val="20"/>
        </w:rPr>
        <w:t>территориях</w:t>
      </w:r>
      <w:r>
        <w:rPr>
          <w:color w:val="000000"/>
          <w:sz w:val="20"/>
          <w:szCs w:val="20"/>
        </w:rPr>
        <w:t>, объединенных в ценовые зоны оптового рынка электрической энергии, и покупателей, приобретающих электрическую энергию одновременно на оптовом и розничных рынках электрической энергии)" исключить;</w:t>
      </w:r>
      <w:proofErr w:type="gramEnd"/>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в) в пункте 68:</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 xml:space="preserve">слова "Стоимость отклонений" заменить словами "В отношении потребителей с присоединенной мощностью </w:t>
      </w:r>
      <w:proofErr w:type="spellStart"/>
      <w:r>
        <w:rPr>
          <w:color w:val="000000"/>
          <w:sz w:val="20"/>
          <w:szCs w:val="20"/>
        </w:rPr>
        <w:t>энергопринимающих</w:t>
      </w:r>
      <w:proofErr w:type="spellEnd"/>
      <w:r>
        <w:rPr>
          <w:color w:val="000000"/>
          <w:sz w:val="20"/>
          <w:szCs w:val="20"/>
        </w:rPr>
        <w:t xml:space="preserve"> устрой</w:t>
      </w:r>
      <w:proofErr w:type="gramStart"/>
      <w:r>
        <w:rPr>
          <w:color w:val="000000"/>
          <w:sz w:val="20"/>
          <w:szCs w:val="20"/>
        </w:rPr>
        <w:t>ств св</w:t>
      </w:r>
      <w:proofErr w:type="gramEnd"/>
      <w:r>
        <w:rPr>
          <w:color w:val="000000"/>
          <w:sz w:val="20"/>
          <w:szCs w:val="20"/>
        </w:rPr>
        <w:t xml:space="preserve">ыше 750 </w:t>
      </w:r>
      <w:proofErr w:type="spellStart"/>
      <w:r>
        <w:rPr>
          <w:color w:val="000000"/>
          <w:sz w:val="20"/>
          <w:szCs w:val="20"/>
        </w:rPr>
        <w:t>кВА</w:t>
      </w:r>
      <w:proofErr w:type="spellEnd"/>
      <w:r>
        <w:rPr>
          <w:color w:val="000000"/>
          <w:sz w:val="20"/>
          <w:szCs w:val="20"/>
        </w:rPr>
        <w:t>, выбравших для расчетов с гарантирующим поставщиком пятую и шестую ценовые категории, стоимость отклонений";</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дополнить абзацами следующего содержания:</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 xml:space="preserve">"Оплата потребленной электрической энергии производится потребителями с присоединенной мощностью </w:t>
      </w:r>
      <w:proofErr w:type="spellStart"/>
      <w:r>
        <w:rPr>
          <w:color w:val="000000"/>
          <w:sz w:val="20"/>
          <w:szCs w:val="20"/>
        </w:rPr>
        <w:t>энергопринимающих</w:t>
      </w:r>
      <w:proofErr w:type="spellEnd"/>
      <w:r>
        <w:rPr>
          <w:color w:val="000000"/>
          <w:sz w:val="20"/>
          <w:szCs w:val="20"/>
        </w:rPr>
        <w:t xml:space="preserve"> устройств до 750 </w:t>
      </w:r>
      <w:proofErr w:type="spellStart"/>
      <w:r>
        <w:rPr>
          <w:color w:val="000000"/>
          <w:sz w:val="20"/>
          <w:szCs w:val="20"/>
        </w:rPr>
        <w:t>кВА</w:t>
      </w:r>
      <w:proofErr w:type="spellEnd"/>
      <w:r>
        <w:rPr>
          <w:color w:val="000000"/>
          <w:sz w:val="20"/>
          <w:szCs w:val="20"/>
        </w:rPr>
        <w:t xml:space="preserve"> включительно, не выбравшими для расчетов с гарантирующим поставщиком пятую и шестую ценовые категории, исходя из фактических объемов потребления в соответствующем периоде, подтвержденных показаниями приборов учета за указанный период.</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proofErr w:type="gramStart"/>
      <w:r>
        <w:rPr>
          <w:color w:val="000000"/>
          <w:sz w:val="20"/>
          <w:szCs w:val="20"/>
        </w:rPr>
        <w:t xml:space="preserve">Включение в договоры энергоснабжения (договоры купли-продажи (поставки) электрической энергии), заключаемые с потребителями с присоединенной мощностью </w:t>
      </w:r>
      <w:proofErr w:type="spellStart"/>
      <w:r>
        <w:rPr>
          <w:color w:val="000000"/>
          <w:sz w:val="20"/>
          <w:szCs w:val="20"/>
        </w:rPr>
        <w:t>энергопринимающих</w:t>
      </w:r>
      <w:proofErr w:type="spellEnd"/>
      <w:r>
        <w:rPr>
          <w:color w:val="000000"/>
          <w:sz w:val="20"/>
          <w:szCs w:val="20"/>
        </w:rPr>
        <w:t xml:space="preserve"> устройств до 750 </w:t>
      </w:r>
      <w:proofErr w:type="spellStart"/>
      <w:r>
        <w:rPr>
          <w:color w:val="000000"/>
          <w:sz w:val="20"/>
          <w:szCs w:val="20"/>
        </w:rPr>
        <w:t>кВА</w:t>
      </w:r>
      <w:proofErr w:type="spellEnd"/>
      <w:r>
        <w:rPr>
          <w:color w:val="000000"/>
          <w:sz w:val="20"/>
          <w:szCs w:val="20"/>
        </w:rPr>
        <w:t xml:space="preserve"> включительно, не выбравшими для расчетов с гарантирующим поставщиком пятую и шестую ценовые категории, положений о необходимости компенсации ими стоимости отклонений фактического объема потребления электрической энергии от договорного объема потребления не допускается.";</w:t>
      </w:r>
      <w:proofErr w:type="gramEnd"/>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lastRenderedPageBreak/>
        <w:t xml:space="preserve">г) в абзаце первом пункта 72 слова "потребители, владеющие" заменить словами "потребители на территориях, включенных в неценовые зоны оптового рынка, владеющие"; </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д) в пункте 108</w:t>
      </w:r>
      <w:r>
        <w:rPr>
          <w:color w:val="000000"/>
          <w:sz w:val="20"/>
          <w:szCs w:val="20"/>
          <w:vertAlign w:val="superscript"/>
        </w:rPr>
        <w:t>1</w:t>
      </w:r>
      <w:r>
        <w:rPr>
          <w:color w:val="000000"/>
          <w:sz w:val="20"/>
          <w:szCs w:val="20"/>
        </w:rPr>
        <w:t>:</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 xml:space="preserve">в абзаце шестом слова ", </w:t>
      </w:r>
      <w:proofErr w:type="gramStart"/>
      <w:r>
        <w:rPr>
          <w:color w:val="000000"/>
          <w:sz w:val="20"/>
          <w:szCs w:val="20"/>
        </w:rPr>
        <w:t>дифференцированный</w:t>
      </w:r>
      <w:proofErr w:type="gramEnd"/>
      <w:r>
        <w:rPr>
          <w:color w:val="000000"/>
          <w:sz w:val="20"/>
          <w:szCs w:val="20"/>
        </w:rPr>
        <w:t xml:space="preserve"> по числу часов использования мощности" исключить;</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 xml:space="preserve">абзац восемнадцатый дополнить предложением следующего содержания: </w:t>
      </w:r>
      <w:proofErr w:type="gramStart"/>
      <w:r>
        <w:rPr>
          <w:color w:val="000000"/>
          <w:sz w:val="20"/>
          <w:szCs w:val="20"/>
        </w:rPr>
        <w:t>"При этом такой свободный договор купли-продажи электрической энергии учитывается гарантирующим поставщиком при определении и применении предельных уровней нерегулируемых цен в отношении соответствующих объемов поставки электрической энергии (мощности) исключительно в случае, если учет такого договора приводит к снижению предельного уровня нерегулируемых цен для потребителей гарантирующего поставщика по отношению к соответствующему предельному уровню нерегулируемых цен без учета этого договора.";</w:t>
      </w:r>
      <w:proofErr w:type="gramEnd"/>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е) абзац четвертый пункта 108</w:t>
      </w:r>
      <w:r>
        <w:rPr>
          <w:color w:val="000000"/>
          <w:sz w:val="20"/>
          <w:szCs w:val="20"/>
          <w:vertAlign w:val="superscript"/>
        </w:rPr>
        <w:t>2</w:t>
      </w:r>
      <w:r>
        <w:rPr>
          <w:color w:val="000000"/>
          <w:sz w:val="20"/>
          <w:szCs w:val="20"/>
        </w:rPr>
        <w:t xml:space="preserve"> дополнить предложением следующего содержания: "При этом гарантирующий поставщик обязан производить расчеты с таким потребителем по указанной в уведомлении ценовой категории</w:t>
      </w:r>
      <w:proofErr w:type="gramStart"/>
      <w:r>
        <w:rPr>
          <w:color w:val="000000"/>
          <w:sz w:val="20"/>
          <w:szCs w:val="20"/>
        </w:rPr>
        <w:t>.";</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proofErr w:type="gramEnd"/>
      <w:r>
        <w:rPr>
          <w:color w:val="000000"/>
          <w:sz w:val="20"/>
          <w:szCs w:val="20"/>
        </w:rPr>
        <w:t>ж) пункт 109 изложить в следующей редакции:</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 xml:space="preserve">"109. </w:t>
      </w:r>
      <w:proofErr w:type="gramStart"/>
      <w:r>
        <w:rPr>
          <w:color w:val="000000"/>
          <w:sz w:val="20"/>
          <w:szCs w:val="20"/>
        </w:rPr>
        <w:t>Фактическая величина мощности, приобретаемая покупателем на розничном рынке, определяется как среднее арифметическое значение из фактических почасовых объемов потребления электрической энергии покупателем в часы, определенные коммерческим оператором в соответствии с Правилами оптового рынка электрической энергии и мощности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w:t>
      </w:r>
      <w:proofErr w:type="gramEnd"/>
      <w:r>
        <w:rPr>
          <w:color w:val="000000"/>
          <w:sz w:val="20"/>
          <w:szCs w:val="20"/>
        </w:rPr>
        <w:t xml:space="preserve"> потребителя</w:t>
      </w:r>
      <w:proofErr w:type="gramStart"/>
      <w:r>
        <w:rPr>
          <w:color w:val="000000"/>
          <w:sz w:val="20"/>
          <w:szCs w:val="20"/>
        </w:rPr>
        <w:t>.";</w:t>
      </w:r>
      <w:proofErr w:type="gramEnd"/>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з) пункт 110 дополнить абзацами следующего содержания:</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proofErr w:type="gramStart"/>
      <w:r>
        <w:rPr>
          <w:color w:val="000000"/>
          <w:sz w:val="20"/>
          <w:szCs w:val="20"/>
        </w:rPr>
        <w:t>"Часы для расчета фактической величины мощности на розничном рынке, опубликованные коммерческим оператором в соответствии с пунктом 111 настоящего документа, публикуются гарантирующим поставщиком не позднее 15 дней по окончании расчетного периода на его официальном сайте в сети Интернет или в официальном печатном издании, в котором публикуются правовые акты органов государственной власти субъекта Российской Федерации.</w:t>
      </w:r>
      <w:proofErr w:type="gramEnd"/>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Коммерческий оператор оптового рынка не позднее 18 дней по окончании расчетного периода на его официальном сайте в сети Интернет или в официальном печатном издании, в котором публикуются правовые акты органов государственной власти субъекта Российской Федерации, публикует следующие величины:</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объем фактического пикового потребления мощности каждого гарантирующего поставщика, купленный на оптовом рынке, за каждый месяц;</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фактический объем покупки электрической энергии каждого гарантирующего поставщика, купленный на оптовом рынке, за каждый месяц;</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коэффициенты оплаты мощности для соответствующей зоны суток</w:t>
      </w:r>
      <w:proofErr w:type="gramStart"/>
      <w:r>
        <w:rPr>
          <w:color w:val="000000"/>
          <w:sz w:val="20"/>
          <w:szCs w:val="20"/>
        </w:rPr>
        <w:t>.";</w:t>
      </w:r>
      <w:proofErr w:type="gramEnd"/>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и) в пункте 111:</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абзацы второй и восьмой признать утратившими силу;</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дополнить абзацем следующего содержания:</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proofErr w:type="gramStart"/>
      <w:r>
        <w:rPr>
          <w:color w:val="000000"/>
          <w:sz w:val="20"/>
          <w:szCs w:val="20"/>
        </w:rPr>
        <w:t>"Коммерческий оператор оптового рынка в отношении каждого гарантирующего поставщика - участника оптового рынка по соответствующей зоне деятельности в соответствии с пунктом 109 и Правилами оптового рынка электрической энергии и мощности определяет и публикует не позднее 9 дней по окончании расчетного периода на своем официальном сайте в сети Интернет для каждого рабочего дня час для расчета фактической величины мощности на розничном рынке.";</w:t>
      </w:r>
      <w:proofErr w:type="gramEnd"/>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к) пункт 111</w:t>
      </w:r>
      <w:r>
        <w:rPr>
          <w:color w:val="000000"/>
          <w:sz w:val="20"/>
          <w:szCs w:val="20"/>
          <w:vertAlign w:val="superscript"/>
        </w:rPr>
        <w:t>2</w:t>
      </w:r>
      <w:r>
        <w:rPr>
          <w:color w:val="000000"/>
          <w:sz w:val="20"/>
          <w:szCs w:val="20"/>
        </w:rPr>
        <w:t xml:space="preserve"> изложить в редакции:</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"111</w:t>
      </w:r>
      <w:r>
        <w:rPr>
          <w:color w:val="000000"/>
          <w:sz w:val="20"/>
          <w:szCs w:val="20"/>
          <w:vertAlign w:val="superscript"/>
        </w:rPr>
        <w:t>2</w:t>
      </w:r>
      <w:r>
        <w:rPr>
          <w:color w:val="000000"/>
          <w:sz w:val="20"/>
          <w:szCs w:val="20"/>
        </w:rPr>
        <w:t>. На территориях, объединенных в ценовые зоны оптового рынка, средневзвешенная нерегулируемая цена электрической энергии (мощности), используемая для расчета предельного уровня нерегулируемой цены по первой ценовой категории, рассчитывается гарантирующим поставщиком как сумма следующих величин:</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proofErr w:type="gramStart"/>
      <w:r>
        <w:rPr>
          <w:color w:val="000000"/>
          <w:sz w:val="20"/>
          <w:szCs w:val="20"/>
        </w:rPr>
        <w:t>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в соответствии с пунктом 111 настоящего документа;</w:t>
      </w:r>
      <w:proofErr w:type="gramEnd"/>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пунктом 111 настоящего документа, и коэффициента оплаты мощности потребителями, производящими расчеты по первой ценовой категории.</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Коэффициент оплаты мощности потребителями, выбравшими для расчетов первую ценовую категорию, определяется гарантирующим поставщиком как отношение следующих величин:</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proofErr w:type="gramStart"/>
      <w:r>
        <w:rPr>
          <w:color w:val="000000"/>
          <w:sz w:val="20"/>
          <w:szCs w:val="20"/>
        </w:rPr>
        <w:t>сумма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и величины мощности, соответствующей покупке электрической энергии у производителей розничного рынка, имеющих право реализации электрической энергии на розничном рынке, уменьшенная на сумму объемов мощности, потребленной в соответствующем расчетном периоде потребителями, выбравшими для расчетов вторую - шестую ценовые категории, населением и приравненным к ним категориям</w:t>
      </w:r>
      <w:proofErr w:type="gramEnd"/>
      <w:r>
        <w:rPr>
          <w:color w:val="000000"/>
          <w:sz w:val="20"/>
          <w:szCs w:val="20"/>
        </w:rPr>
        <w:t xml:space="preserve"> потребителей;</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proofErr w:type="gramStart"/>
      <w:r>
        <w:rPr>
          <w:color w:val="000000"/>
          <w:sz w:val="20"/>
          <w:szCs w:val="20"/>
        </w:rPr>
        <w:t>разница между фактическим объемом покупки электрической энергии гарантирующего поставщика за соответствующий расчетный период на оптовом и розничном рынках у производителей розничного рынка, имеющих право реализации электрической энергии на розничном рынке, и суммой объемов электрической энергии, потребленной потребителями, производящими расчеты по второй - шестой категории, населением и приравненным к ним категориям потребителей.</w:t>
      </w:r>
      <w:proofErr w:type="gramEnd"/>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Объем покупки электрической энергии гарантирующего поставщика на оптовом рынке определяется без учета объемов покупки нагрузочных потерь, учтенных в равновесных ценах оптового рынка.</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proofErr w:type="gramStart"/>
      <w:r>
        <w:rPr>
          <w:color w:val="000000"/>
          <w:sz w:val="20"/>
          <w:szCs w:val="20"/>
        </w:rPr>
        <w:lastRenderedPageBreak/>
        <w:t>Объем потребления электрической энергии и мощности населения и приравненных к нему категорий потребителей в соответствующем расчетном периоде для целей расчета коэффициента оплаты мощности потребителями, выбравшими для расчетов первую ценовую категорию,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roofErr w:type="gramEnd"/>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Объем потребления мощности потребителями, осуществляющими расчеты по второй ценовой категории, определяется гарантирующим поставщиком как сумма произведений фактических объемов потребления электрической энергии потребителями, осуществляющими расчеты по второй ценовой категории, в соответствующей зоне суток и соответствующего коэффициента оплаты мощности для соответствующих зон суток.</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proofErr w:type="gramStart"/>
      <w:r>
        <w:rPr>
          <w:color w:val="000000"/>
          <w:sz w:val="20"/>
          <w:szCs w:val="20"/>
        </w:rPr>
        <w:t>Коэффициент оплаты мощности для соответствующей зоны суток определяется коммерческим оператором оптового рынка для каждого гарантирующего поставщика по соответствующей зоне деятельности как отношение разницы средневзвешенной нерегулируемой цены на электрическую энергию (мощность) на оптовом рынке, определенной для соответствующей зоны суток, и средневзвешенной нерегулируемой цены на электрическую энергию на оптовом рынке, определенной для соответствующей зоны суток для данного гарантирующего поставщика, к средневзвешенной нерегулируемой</w:t>
      </w:r>
      <w:proofErr w:type="gramEnd"/>
      <w:r>
        <w:rPr>
          <w:color w:val="000000"/>
          <w:sz w:val="20"/>
          <w:szCs w:val="20"/>
        </w:rPr>
        <w:t xml:space="preserve"> цене на мощность на оптовом рынке.</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Гарантирующий поставщик публикует на своем сайте в сети Интернет в течение 20 календарных дней с даты окончания расчетного периода все составляющие расчета средневзвешенных нерегулируемых цен электрической энергии (мощности), используемых для расчета предельного уровня нерегулируемых цен первой ценовой категории</w:t>
      </w:r>
      <w:proofErr w:type="gramStart"/>
      <w:r>
        <w:rPr>
          <w:color w:val="000000"/>
          <w:sz w:val="20"/>
          <w:szCs w:val="20"/>
        </w:rPr>
        <w:t>.";</w:t>
      </w:r>
      <w:proofErr w:type="gramEnd"/>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л) в абзаце третьем пункта 141 слова "расчетным путем" исключить;</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 xml:space="preserve">м) в абзаце первом </w:t>
      </w:r>
      <w:r>
        <w:rPr>
          <w:rFonts w:ascii="Times New Roman CYR" w:hAnsi="Times New Roman CYR" w:cs="Times New Roman CYR"/>
          <w:color w:val="000000"/>
          <w:sz w:val="20"/>
          <w:szCs w:val="20"/>
        </w:rPr>
        <w:t>пункта 156</w:t>
      </w:r>
      <w:r>
        <w:rPr>
          <w:color w:val="000000"/>
          <w:sz w:val="20"/>
          <w:szCs w:val="20"/>
        </w:rPr>
        <w:t xml:space="preserve"> слова "соответствующего диапазону числа часов использования мощности (из числа указанных в</w:t>
      </w:r>
      <w:r>
        <w:rPr>
          <w:color w:val="000000"/>
          <w:sz w:val="20"/>
          <w:szCs w:val="20"/>
        </w:rPr>
        <w:br/>
        <w:t>приложении № 7 к настоящему документу), предусматривающему наименьшее число часов использования мощности, с учетом особенностей, предусмотренных пунктом 111</w:t>
      </w:r>
      <w:r>
        <w:rPr>
          <w:color w:val="000000"/>
          <w:sz w:val="20"/>
          <w:szCs w:val="20"/>
          <w:vertAlign w:val="superscript"/>
        </w:rPr>
        <w:t>2</w:t>
      </w:r>
      <w:r>
        <w:rPr>
          <w:color w:val="000000"/>
          <w:sz w:val="20"/>
          <w:szCs w:val="20"/>
        </w:rPr>
        <w:t xml:space="preserve"> настоящего документа" заменить словами "равного 0,002824";</w:t>
      </w:r>
    </w:p>
    <w:p w:rsidR="00571FCC" w:rsidRDefault="00571FCC" w:rsidP="00571FCC">
      <w:pPr>
        <w:pStyle w:val="style13206741270000000675msonormal"/>
        <w:shd w:val="clear" w:color="auto" w:fill="FFFFFF"/>
        <w:spacing w:before="0" w:beforeAutospacing="0" w:after="0" w:afterAutospacing="0"/>
        <w:ind w:firstLine="700"/>
        <w:rPr>
          <w:rFonts w:ascii="Arial" w:hAnsi="Arial" w:cs="Arial"/>
          <w:color w:val="0000FF"/>
          <w:sz w:val="20"/>
          <w:szCs w:val="20"/>
        </w:rPr>
      </w:pPr>
      <w:r>
        <w:rPr>
          <w:color w:val="000000"/>
          <w:sz w:val="20"/>
          <w:szCs w:val="20"/>
        </w:rPr>
        <w:t>н) приложение № 7 признать утратившим силу.</w:t>
      </w:r>
    </w:p>
    <w:p w:rsidR="009961AE" w:rsidRDefault="009961AE"/>
    <w:sectPr w:rsidR="009961AE" w:rsidSect="00571F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71FCC"/>
    <w:rsid w:val="00571FCC"/>
    <w:rsid w:val="005E1239"/>
    <w:rsid w:val="0063754E"/>
    <w:rsid w:val="008D55E7"/>
    <w:rsid w:val="0095283F"/>
    <w:rsid w:val="009961AE"/>
    <w:rsid w:val="00FE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206741270000000675msonormal">
    <w:name w:val="style_13206741270000000675msonormal"/>
    <w:basedOn w:val="a"/>
    <w:rsid w:val="00571F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3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1890</Words>
  <Characters>10775</Characters>
  <Application>Microsoft Office Word</Application>
  <DocSecurity>0</DocSecurity>
  <Lines>89</Lines>
  <Paragraphs>25</Paragraphs>
  <ScaleCrop>false</ScaleCrop>
  <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cp:revision>
  <dcterms:created xsi:type="dcterms:W3CDTF">2011-11-07T14:01:00Z</dcterms:created>
  <dcterms:modified xsi:type="dcterms:W3CDTF">2011-11-07T14:04:00Z</dcterms:modified>
</cp:coreProperties>
</file>